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5" w:rsidRPr="006D2FB4" w:rsidRDefault="00802C35" w:rsidP="00802C35">
      <w:pPr>
        <w:jc w:val="center"/>
        <w:rPr>
          <w:b/>
          <w:sz w:val="22"/>
          <w:szCs w:val="22"/>
        </w:rPr>
      </w:pPr>
      <w:r w:rsidRPr="006D2FB4">
        <w:rPr>
          <w:rFonts w:ascii="Arial" w:hAnsi="Arial" w:cs="Arial"/>
          <w:noProof/>
          <w:sz w:val="48"/>
          <w:szCs w:val="48"/>
          <w:lang w:val="en-PH" w:eastAsia="en-PH"/>
        </w:rPr>
        <w:drawing>
          <wp:inline distT="0" distB="0" distL="0" distR="0" wp14:anchorId="24D124B4" wp14:editId="0679E549">
            <wp:extent cx="32480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35" w:rsidRPr="006D2FB4" w:rsidRDefault="00802C35" w:rsidP="00802C35">
      <w:pPr>
        <w:jc w:val="center"/>
        <w:rPr>
          <w:b/>
          <w:sz w:val="22"/>
          <w:szCs w:val="22"/>
        </w:rPr>
      </w:pPr>
    </w:p>
    <w:p w:rsidR="00802C35" w:rsidRPr="006D2FB4" w:rsidRDefault="00802C35" w:rsidP="00802C35">
      <w:pPr>
        <w:jc w:val="center"/>
        <w:rPr>
          <w:b/>
        </w:rPr>
      </w:pPr>
      <w:r w:rsidRPr="006D2FB4">
        <w:rPr>
          <w:b/>
        </w:rPr>
        <w:t>PORT MANAGEMENT OFFICE – MISAMIS ORIENTAL/</w:t>
      </w:r>
    </w:p>
    <w:p w:rsidR="00802C35" w:rsidRPr="006D2FB4" w:rsidRDefault="00802C35" w:rsidP="00802C35">
      <w:pPr>
        <w:jc w:val="center"/>
        <w:rPr>
          <w:b/>
        </w:rPr>
      </w:pPr>
      <w:r w:rsidRPr="006D2FB4">
        <w:rPr>
          <w:b/>
        </w:rPr>
        <w:t>CAGAYAN DE ORO</w:t>
      </w:r>
    </w:p>
    <w:p w:rsidR="00AE3395" w:rsidRDefault="00F53E26" w:rsidP="00802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PMO Building 1</w:t>
      </w:r>
      <w:r w:rsidR="00AE3395">
        <w:rPr>
          <w:b/>
          <w:sz w:val="22"/>
          <w:szCs w:val="22"/>
        </w:rPr>
        <w:t xml:space="preserve"> (formerly </w:t>
      </w:r>
      <w:r w:rsidR="00802C35" w:rsidRPr="006D2FB4">
        <w:rPr>
          <w:b/>
          <w:sz w:val="22"/>
          <w:szCs w:val="22"/>
        </w:rPr>
        <w:t xml:space="preserve">ES </w:t>
      </w:r>
      <w:proofErr w:type="spellStart"/>
      <w:r w:rsidR="00802C35" w:rsidRPr="006D2FB4">
        <w:rPr>
          <w:b/>
          <w:sz w:val="22"/>
          <w:szCs w:val="22"/>
        </w:rPr>
        <w:t>Baclig</w:t>
      </w:r>
      <w:proofErr w:type="spellEnd"/>
      <w:r w:rsidR="00802C35" w:rsidRPr="006D2FB4">
        <w:rPr>
          <w:b/>
          <w:sz w:val="22"/>
          <w:szCs w:val="22"/>
        </w:rPr>
        <w:t xml:space="preserve"> Jr. Administration Bldg.</w:t>
      </w:r>
      <w:r w:rsidR="00AE3395">
        <w:rPr>
          <w:b/>
          <w:sz w:val="22"/>
          <w:szCs w:val="22"/>
        </w:rPr>
        <w:t>)</w:t>
      </w:r>
      <w:r w:rsidR="00802C35" w:rsidRPr="006D2FB4">
        <w:rPr>
          <w:b/>
          <w:sz w:val="22"/>
          <w:szCs w:val="22"/>
        </w:rPr>
        <w:t xml:space="preserve">, Port Area, </w:t>
      </w:r>
    </w:p>
    <w:p w:rsidR="00802C35" w:rsidRPr="006D2FB4" w:rsidRDefault="00802C35" w:rsidP="00802C35">
      <w:pPr>
        <w:jc w:val="center"/>
        <w:rPr>
          <w:b/>
          <w:sz w:val="22"/>
          <w:szCs w:val="22"/>
        </w:rPr>
      </w:pPr>
      <w:proofErr w:type="spellStart"/>
      <w:r w:rsidRPr="006D2FB4">
        <w:rPr>
          <w:b/>
          <w:sz w:val="22"/>
          <w:szCs w:val="22"/>
        </w:rPr>
        <w:t>Macabalan</w:t>
      </w:r>
      <w:proofErr w:type="spellEnd"/>
      <w:r w:rsidRPr="006D2FB4">
        <w:rPr>
          <w:b/>
          <w:sz w:val="22"/>
          <w:szCs w:val="22"/>
        </w:rPr>
        <w:t>, Cagayan de Oro City</w:t>
      </w:r>
    </w:p>
    <w:p w:rsidR="00802C35" w:rsidRPr="006D2FB4" w:rsidRDefault="00802C35" w:rsidP="00802C35">
      <w:pPr>
        <w:jc w:val="center"/>
        <w:rPr>
          <w:b/>
          <w:sz w:val="22"/>
          <w:szCs w:val="22"/>
        </w:rPr>
      </w:pPr>
      <w:r w:rsidRPr="006D2FB4">
        <w:rPr>
          <w:b/>
          <w:sz w:val="22"/>
          <w:szCs w:val="22"/>
        </w:rPr>
        <w:t>Telefax Nos.  (088)</w:t>
      </w:r>
      <w:r w:rsidR="00F53E26">
        <w:rPr>
          <w:b/>
          <w:sz w:val="22"/>
          <w:szCs w:val="22"/>
        </w:rPr>
        <w:t xml:space="preserve"> 856 9098</w:t>
      </w:r>
      <w:r w:rsidR="00FA5FC2">
        <w:rPr>
          <w:b/>
          <w:sz w:val="22"/>
          <w:szCs w:val="22"/>
        </w:rPr>
        <w:t xml:space="preserve"> to </w:t>
      </w:r>
      <w:r w:rsidR="00F53E26">
        <w:rPr>
          <w:b/>
          <w:sz w:val="22"/>
          <w:szCs w:val="22"/>
        </w:rPr>
        <w:t>99</w:t>
      </w:r>
      <w:r w:rsidRPr="006D2FB4">
        <w:rPr>
          <w:b/>
          <w:sz w:val="22"/>
          <w:szCs w:val="22"/>
        </w:rPr>
        <w:t>; Fax No. (088) 856-9100; Email Address: ppamocdo@ppa.com.ph</w:t>
      </w:r>
    </w:p>
    <w:p w:rsidR="00802C35" w:rsidRPr="006D2FB4" w:rsidRDefault="00802C35" w:rsidP="00802C35">
      <w:pPr>
        <w:tabs>
          <w:tab w:val="center" w:pos="4680"/>
        </w:tabs>
        <w:jc w:val="center"/>
        <w:rPr>
          <w:b/>
          <w:smallCaps/>
          <w:sz w:val="28"/>
          <w:szCs w:val="28"/>
        </w:rPr>
      </w:pPr>
    </w:p>
    <w:p w:rsidR="00802C35" w:rsidRPr="00FA5FC2" w:rsidRDefault="00802C35" w:rsidP="00802C35">
      <w:pPr>
        <w:tabs>
          <w:tab w:val="center" w:pos="4680"/>
        </w:tabs>
        <w:jc w:val="center"/>
        <w:rPr>
          <w:b/>
          <w:i/>
          <w:sz w:val="36"/>
          <w:szCs w:val="36"/>
        </w:rPr>
      </w:pPr>
      <w:r w:rsidRPr="00FA5FC2">
        <w:rPr>
          <w:b/>
          <w:smallCaps/>
          <w:sz w:val="36"/>
          <w:szCs w:val="36"/>
        </w:rPr>
        <w:t xml:space="preserve">INVITATION TO BID/PUBLIC AUCTION  </w:t>
      </w:r>
    </w:p>
    <w:p w:rsidR="00802C35" w:rsidRPr="006D2FB4" w:rsidRDefault="00802C35" w:rsidP="00802C35">
      <w:pPr>
        <w:tabs>
          <w:tab w:val="center" w:pos="4680"/>
        </w:tabs>
        <w:rPr>
          <w:b/>
          <w:i/>
          <w:sz w:val="36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 xml:space="preserve">The </w:t>
      </w:r>
      <w:r w:rsidRPr="006D2FB4">
        <w:rPr>
          <w:b/>
          <w:i/>
          <w:sz w:val="22"/>
          <w:szCs w:val="22"/>
        </w:rPr>
        <w:t>PHILIPPINE PORTS AUTHORITY, PM</w:t>
      </w:r>
      <w:r w:rsidR="00FA5FC2">
        <w:rPr>
          <w:b/>
          <w:i/>
          <w:sz w:val="22"/>
          <w:szCs w:val="22"/>
        </w:rPr>
        <w:t xml:space="preserve">O of </w:t>
      </w:r>
      <w:proofErr w:type="spellStart"/>
      <w:r w:rsidRPr="006D2FB4">
        <w:rPr>
          <w:b/>
          <w:i/>
          <w:sz w:val="22"/>
          <w:szCs w:val="22"/>
        </w:rPr>
        <w:t>Misamis</w:t>
      </w:r>
      <w:proofErr w:type="spellEnd"/>
      <w:r w:rsidRPr="006D2FB4">
        <w:rPr>
          <w:b/>
          <w:i/>
          <w:sz w:val="22"/>
          <w:szCs w:val="22"/>
        </w:rPr>
        <w:t xml:space="preserve"> Oriental/Cagayan de Oro (PPA, PMO-MO</w:t>
      </w:r>
      <w:r w:rsidR="00FA5FC2">
        <w:rPr>
          <w:b/>
          <w:i/>
          <w:sz w:val="22"/>
          <w:szCs w:val="22"/>
        </w:rPr>
        <w:t>/</w:t>
      </w:r>
      <w:r w:rsidRPr="006D2FB4">
        <w:rPr>
          <w:b/>
          <w:i/>
          <w:sz w:val="22"/>
          <w:szCs w:val="22"/>
        </w:rPr>
        <w:t>C)</w:t>
      </w:r>
      <w:r w:rsidRPr="006D2FB4">
        <w:rPr>
          <w:sz w:val="22"/>
          <w:szCs w:val="22"/>
        </w:rPr>
        <w:t xml:space="preserve">, through its Property Disposal Committee, </w:t>
      </w:r>
      <w:r w:rsidR="006A1E23">
        <w:rPr>
          <w:sz w:val="22"/>
          <w:szCs w:val="22"/>
        </w:rPr>
        <w:t xml:space="preserve">now </w:t>
      </w:r>
      <w:r w:rsidRPr="006D2FB4">
        <w:rPr>
          <w:sz w:val="22"/>
          <w:szCs w:val="22"/>
        </w:rPr>
        <w:t xml:space="preserve">invites interested parties to bid for the sale of </w:t>
      </w:r>
      <w:r w:rsidR="00FA5FC2">
        <w:rPr>
          <w:sz w:val="22"/>
          <w:szCs w:val="22"/>
        </w:rPr>
        <w:t>its</w:t>
      </w:r>
      <w:r w:rsidRPr="006D2FB4">
        <w:rPr>
          <w:sz w:val="22"/>
          <w:szCs w:val="22"/>
        </w:rPr>
        <w:t xml:space="preserve"> unserviceable/disposable properties on an “As Is” “Where Is” basis: </w:t>
      </w:r>
    </w:p>
    <w:p w:rsidR="00802C35" w:rsidRPr="006D2FB4" w:rsidRDefault="00802C35" w:rsidP="00802C35">
      <w:pPr>
        <w:ind w:left="360"/>
        <w:jc w:val="both"/>
        <w:rPr>
          <w:sz w:val="22"/>
          <w:szCs w:val="22"/>
        </w:rPr>
      </w:pPr>
    </w:p>
    <w:tbl>
      <w:tblPr>
        <w:tblW w:w="86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1350"/>
        <w:gridCol w:w="2340"/>
      </w:tblGrid>
      <w:tr w:rsidR="00802C35" w:rsidRPr="006D2FB4" w:rsidTr="00FA5FC2">
        <w:tc>
          <w:tcPr>
            <w:tcW w:w="4927" w:type="dxa"/>
            <w:shd w:val="clear" w:color="auto" w:fill="auto"/>
          </w:tcPr>
          <w:p w:rsidR="00802C35" w:rsidRPr="006D2FB4" w:rsidRDefault="00802C35" w:rsidP="001C3298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PARTICULARS</w:t>
            </w:r>
          </w:p>
        </w:tc>
        <w:tc>
          <w:tcPr>
            <w:tcW w:w="1350" w:type="dxa"/>
            <w:shd w:val="clear" w:color="auto" w:fill="auto"/>
          </w:tcPr>
          <w:p w:rsidR="00802C35" w:rsidRPr="006D2FB4" w:rsidRDefault="00802C35" w:rsidP="001C3298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QTY.</w:t>
            </w:r>
          </w:p>
        </w:tc>
        <w:tc>
          <w:tcPr>
            <w:tcW w:w="2340" w:type="dxa"/>
            <w:shd w:val="clear" w:color="auto" w:fill="auto"/>
          </w:tcPr>
          <w:p w:rsidR="00802C35" w:rsidRPr="006D2FB4" w:rsidRDefault="00802C35" w:rsidP="001C3298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FLOOR PRICE</w:t>
            </w:r>
          </w:p>
        </w:tc>
      </w:tr>
      <w:tr w:rsidR="00802C35" w:rsidRPr="006D2FB4" w:rsidTr="00FA5FC2">
        <w:trPr>
          <w:trHeight w:val="2024"/>
        </w:trPr>
        <w:tc>
          <w:tcPr>
            <w:tcW w:w="4927" w:type="dxa"/>
            <w:shd w:val="clear" w:color="auto" w:fill="auto"/>
          </w:tcPr>
          <w:p w:rsidR="00802C35" w:rsidRPr="006D2FB4" w:rsidRDefault="00802C35" w:rsidP="001C3298">
            <w:pPr>
              <w:rPr>
                <w:i/>
                <w:sz w:val="22"/>
                <w:szCs w:val="22"/>
              </w:rPr>
            </w:pPr>
          </w:p>
          <w:p w:rsidR="00802C35" w:rsidRPr="006D2FB4" w:rsidRDefault="00802C35" w:rsidP="001C3298">
            <w:pPr>
              <w:rPr>
                <w:i/>
              </w:rPr>
            </w:pPr>
            <w:r>
              <w:rPr>
                <w:i/>
              </w:rPr>
              <w:t xml:space="preserve">Dismantled Parts </w:t>
            </w:r>
            <w:r w:rsidR="00F53E26">
              <w:rPr>
                <w:i/>
              </w:rPr>
              <w:t xml:space="preserve">and Materials </w:t>
            </w:r>
            <w:r>
              <w:rPr>
                <w:i/>
              </w:rPr>
              <w:t xml:space="preserve">of the </w:t>
            </w:r>
            <w:r w:rsidR="00FA5FC2">
              <w:rPr>
                <w:i/>
              </w:rPr>
              <w:t xml:space="preserve">Unserviceable </w:t>
            </w:r>
            <w:r w:rsidRPr="006D2FB4">
              <w:rPr>
                <w:i/>
              </w:rPr>
              <w:t>25 Tonner Level Luffing Crane</w:t>
            </w:r>
            <w:r w:rsidR="00F53E26">
              <w:rPr>
                <w:i/>
              </w:rPr>
              <w:t xml:space="preserve"> </w:t>
            </w:r>
          </w:p>
          <w:p w:rsidR="00802C35" w:rsidRPr="006D2FB4" w:rsidRDefault="00FA5FC2" w:rsidP="001C3298">
            <w:pPr>
              <w:rPr>
                <w:i/>
              </w:rPr>
            </w:pPr>
            <w:r>
              <w:rPr>
                <w:i/>
              </w:rPr>
              <w:t xml:space="preserve">(Estimated Weight: 217,620 </w:t>
            </w:r>
            <w:proofErr w:type="spellStart"/>
            <w:r>
              <w:rPr>
                <w:i/>
              </w:rPr>
              <w:t>kls</w:t>
            </w:r>
            <w:proofErr w:type="spellEnd"/>
            <w:r>
              <w:rPr>
                <w:i/>
              </w:rPr>
              <w:t xml:space="preserve">. x Value Per Kilo: </w:t>
            </w:r>
            <w:proofErr w:type="spellStart"/>
            <w:r>
              <w:rPr>
                <w:i/>
              </w:rPr>
              <w:t>Php</w:t>
            </w:r>
            <w:proofErr w:type="spellEnd"/>
            <w:r>
              <w:rPr>
                <w:i/>
              </w:rPr>
              <w:t>. 11.00)</w:t>
            </w:r>
          </w:p>
          <w:p w:rsidR="00802C35" w:rsidRPr="006D2FB4" w:rsidRDefault="00802C35" w:rsidP="001C3298">
            <w:pPr>
              <w:jc w:val="both"/>
              <w:rPr>
                <w:i/>
                <w:sz w:val="22"/>
                <w:szCs w:val="22"/>
              </w:rPr>
            </w:pPr>
          </w:p>
          <w:p w:rsidR="00802C35" w:rsidRPr="006D2FB4" w:rsidRDefault="00802C35" w:rsidP="001C3298">
            <w:pPr>
              <w:jc w:val="both"/>
              <w:rPr>
                <w:i/>
                <w:sz w:val="22"/>
                <w:szCs w:val="22"/>
              </w:rPr>
            </w:pPr>
            <w:r w:rsidRPr="006D2FB4">
              <w:rPr>
                <w:i/>
                <w:sz w:val="22"/>
                <w:szCs w:val="22"/>
              </w:rPr>
              <w:t xml:space="preserve">ADDITIONAL 12% VAT </w:t>
            </w:r>
          </w:p>
        </w:tc>
        <w:tc>
          <w:tcPr>
            <w:tcW w:w="1350" w:type="dxa"/>
            <w:shd w:val="clear" w:color="auto" w:fill="auto"/>
          </w:tcPr>
          <w:p w:rsidR="00802C35" w:rsidRPr="006D2FB4" w:rsidRDefault="00802C35" w:rsidP="001C3298">
            <w:pPr>
              <w:jc w:val="center"/>
              <w:rPr>
                <w:i/>
                <w:sz w:val="22"/>
                <w:szCs w:val="22"/>
              </w:rPr>
            </w:pPr>
          </w:p>
          <w:p w:rsidR="00802C35" w:rsidRPr="006D2FB4" w:rsidRDefault="00F53E26" w:rsidP="001C3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lot</w:t>
            </w:r>
          </w:p>
          <w:p w:rsidR="00802C35" w:rsidRPr="006D2FB4" w:rsidRDefault="00802C35" w:rsidP="001C3298">
            <w:pPr>
              <w:jc w:val="center"/>
              <w:rPr>
                <w:i/>
                <w:sz w:val="22"/>
                <w:szCs w:val="22"/>
              </w:rPr>
            </w:pPr>
          </w:p>
          <w:p w:rsidR="00802C35" w:rsidRPr="006D2FB4" w:rsidRDefault="00802C35" w:rsidP="001C3298">
            <w:pPr>
              <w:jc w:val="center"/>
              <w:rPr>
                <w:i/>
                <w:sz w:val="22"/>
                <w:szCs w:val="22"/>
              </w:rPr>
            </w:pPr>
          </w:p>
          <w:p w:rsidR="00802C35" w:rsidRPr="006D2FB4" w:rsidRDefault="00802C35" w:rsidP="001C32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02C35" w:rsidRPr="006D2FB4" w:rsidRDefault="00802C35" w:rsidP="001C3298">
            <w:pPr>
              <w:jc w:val="both"/>
              <w:rPr>
                <w:i/>
                <w:sz w:val="22"/>
                <w:szCs w:val="22"/>
              </w:rPr>
            </w:pPr>
          </w:p>
          <w:p w:rsidR="00802C35" w:rsidRPr="00FD7619" w:rsidRDefault="00802C35" w:rsidP="001C3298">
            <w:pPr>
              <w:jc w:val="both"/>
              <w:rPr>
                <w:i/>
              </w:rPr>
            </w:pPr>
            <w:proofErr w:type="spellStart"/>
            <w:r w:rsidRPr="00FD7619">
              <w:rPr>
                <w:b/>
                <w:i/>
              </w:rPr>
              <w:t>P</w:t>
            </w:r>
            <w:r w:rsidR="00FA5FC2" w:rsidRPr="00FD7619">
              <w:rPr>
                <w:b/>
                <w:i/>
              </w:rPr>
              <w:t>hp</w:t>
            </w:r>
            <w:proofErr w:type="spellEnd"/>
            <w:r w:rsidR="00FA5FC2" w:rsidRPr="00FD7619">
              <w:rPr>
                <w:b/>
                <w:i/>
              </w:rPr>
              <w:t>. 2,393,820.00</w:t>
            </w:r>
            <w:r w:rsidRPr="00FD7619">
              <w:rPr>
                <w:i/>
              </w:rPr>
              <w:t xml:space="preserve">  </w:t>
            </w:r>
          </w:p>
          <w:p w:rsidR="00802C35" w:rsidRPr="006D2FB4" w:rsidRDefault="00802C35" w:rsidP="001C3298">
            <w:pPr>
              <w:jc w:val="both"/>
              <w:rPr>
                <w:i/>
                <w:sz w:val="22"/>
                <w:szCs w:val="22"/>
              </w:rPr>
            </w:pPr>
          </w:p>
          <w:p w:rsidR="00802C35" w:rsidRDefault="00802C35" w:rsidP="001C3298">
            <w:pPr>
              <w:jc w:val="both"/>
              <w:rPr>
                <w:i/>
                <w:sz w:val="22"/>
                <w:szCs w:val="22"/>
              </w:rPr>
            </w:pPr>
            <w:r w:rsidRPr="006D2FB4">
              <w:rPr>
                <w:i/>
                <w:sz w:val="22"/>
                <w:szCs w:val="22"/>
              </w:rPr>
              <w:t xml:space="preserve">      </w:t>
            </w:r>
          </w:p>
          <w:p w:rsidR="00FA5FC2" w:rsidRDefault="00FA5FC2" w:rsidP="001C3298">
            <w:pPr>
              <w:jc w:val="both"/>
              <w:rPr>
                <w:i/>
                <w:sz w:val="22"/>
                <w:szCs w:val="22"/>
              </w:rPr>
            </w:pPr>
          </w:p>
          <w:p w:rsidR="00FA5FC2" w:rsidRDefault="00FA5FC2" w:rsidP="001C3298">
            <w:pPr>
              <w:jc w:val="both"/>
              <w:rPr>
                <w:i/>
                <w:sz w:val="22"/>
                <w:szCs w:val="22"/>
              </w:rPr>
            </w:pPr>
          </w:p>
          <w:p w:rsidR="00FA5FC2" w:rsidRPr="00FD7619" w:rsidRDefault="00FA5FC2" w:rsidP="001C3298">
            <w:pPr>
              <w:jc w:val="both"/>
              <w:rPr>
                <w:b/>
                <w:i/>
              </w:rPr>
            </w:pPr>
            <w:r w:rsidRPr="00FD7619">
              <w:rPr>
                <w:i/>
              </w:rPr>
              <w:t xml:space="preserve">          </w:t>
            </w:r>
            <w:r w:rsidRPr="00FD7619">
              <w:rPr>
                <w:b/>
                <w:i/>
              </w:rPr>
              <w:t xml:space="preserve">287,258.40              </w:t>
            </w:r>
          </w:p>
          <w:p w:rsidR="00FA5FC2" w:rsidRPr="006D2FB4" w:rsidRDefault="00FA5FC2" w:rsidP="001C329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02C35" w:rsidRPr="006D2FB4" w:rsidTr="00FA5FC2">
        <w:tc>
          <w:tcPr>
            <w:tcW w:w="4927" w:type="dxa"/>
            <w:shd w:val="clear" w:color="auto" w:fill="auto"/>
          </w:tcPr>
          <w:p w:rsidR="00802C35" w:rsidRPr="006D2FB4" w:rsidRDefault="00802C35" w:rsidP="001C3298">
            <w:pPr>
              <w:jc w:val="both"/>
              <w:rPr>
                <w:i/>
                <w:sz w:val="22"/>
                <w:szCs w:val="22"/>
              </w:rPr>
            </w:pPr>
            <w:r w:rsidRPr="006D2FB4">
              <w:rPr>
                <w:i/>
                <w:sz w:val="22"/>
                <w:szCs w:val="22"/>
              </w:rPr>
              <w:t>GRAND TOTAL</w:t>
            </w:r>
            <w:r w:rsidR="00FD7619">
              <w:rPr>
                <w:i/>
                <w:sz w:val="22"/>
                <w:szCs w:val="22"/>
              </w:rPr>
              <w:t xml:space="preserve"> (Floor Price)</w:t>
            </w:r>
          </w:p>
        </w:tc>
        <w:tc>
          <w:tcPr>
            <w:tcW w:w="1350" w:type="dxa"/>
            <w:shd w:val="clear" w:color="auto" w:fill="auto"/>
          </w:tcPr>
          <w:p w:rsidR="00802C35" w:rsidRPr="006D2FB4" w:rsidRDefault="00802C35" w:rsidP="001C329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02C35" w:rsidRPr="00FD7619" w:rsidRDefault="00802C35" w:rsidP="001C3298">
            <w:pPr>
              <w:jc w:val="both"/>
              <w:rPr>
                <w:b/>
                <w:i/>
              </w:rPr>
            </w:pPr>
            <w:proofErr w:type="spellStart"/>
            <w:r w:rsidRPr="00FD7619">
              <w:rPr>
                <w:b/>
                <w:i/>
              </w:rPr>
              <w:t>P</w:t>
            </w:r>
            <w:r w:rsidR="00FD7619" w:rsidRPr="00FD7619">
              <w:rPr>
                <w:b/>
                <w:i/>
              </w:rPr>
              <w:t>hp</w:t>
            </w:r>
            <w:proofErr w:type="spellEnd"/>
            <w:r w:rsidR="00FD7619" w:rsidRPr="00FD7619">
              <w:rPr>
                <w:b/>
                <w:i/>
              </w:rPr>
              <w:t>. 2,681,078.40</w:t>
            </w:r>
            <w:r w:rsidRPr="00FD7619">
              <w:rPr>
                <w:b/>
                <w:i/>
              </w:rPr>
              <w:t xml:space="preserve"> </w:t>
            </w:r>
          </w:p>
        </w:tc>
      </w:tr>
      <w:tr w:rsidR="00B9398C" w:rsidRPr="006D2FB4" w:rsidTr="002252BA">
        <w:tc>
          <w:tcPr>
            <w:tcW w:w="8617" w:type="dxa"/>
            <w:gridSpan w:val="3"/>
            <w:shd w:val="clear" w:color="auto" w:fill="auto"/>
          </w:tcPr>
          <w:p w:rsidR="00B9398C" w:rsidRPr="00FD7619" w:rsidRDefault="00B9398C" w:rsidP="001C329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Note: Proposed Bids or Buying Price lower than the floor price shall automatically </w:t>
            </w:r>
            <w:r w:rsidR="00C03851">
              <w:rPr>
                <w:b/>
                <w:i/>
              </w:rPr>
              <w:t>be disqualified or be rejected outright</w:t>
            </w:r>
          </w:p>
        </w:tc>
      </w:tr>
    </w:tbl>
    <w:p w:rsidR="00802C35" w:rsidRPr="006D2FB4" w:rsidRDefault="00802C35" w:rsidP="00802C35">
      <w:pPr>
        <w:jc w:val="both"/>
        <w:rPr>
          <w:sz w:val="22"/>
          <w:szCs w:val="22"/>
        </w:rPr>
      </w:pPr>
    </w:p>
    <w:p w:rsidR="00AE3395" w:rsidRDefault="00802C35" w:rsidP="00AE3395">
      <w:pPr>
        <w:jc w:val="both"/>
        <w:rPr>
          <w:b/>
          <w:sz w:val="22"/>
          <w:szCs w:val="22"/>
        </w:rPr>
      </w:pPr>
      <w:r w:rsidRPr="006D2FB4">
        <w:rPr>
          <w:sz w:val="22"/>
          <w:szCs w:val="22"/>
        </w:rPr>
        <w:t xml:space="preserve">Additional information and bid forms may be secured at this office, thru the Secretariat, Property    Disposal Committee, </w:t>
      </w:r>
      <w:r w:rsidRPr="006D2FB4">
        <w:rPr>
          <w:b/>
          <w:sz w:val="22"/>
          <w:szCs w:val="22"/>
        </w:rPr>
        <w:t>Telefax Nos. (088)</w:t>
      </w:r>
      <w:r w:rsidR="00F53E26">
        <w:rPr>
          <w:b/>
          <w:sz w:val="22"/>
          <w:szCs w:val="22"/>
        </w:rPr>
        <w:t xml:space="preserve"> 856 9098</w:t>
      </w:r>
      <w:r w:rsidR="00FA5FC2">
        <w:rPr>
          <w:b/>
          <w:sz w:val="22"/>
          <w:szCs w:val="22"/>
        </w:rPr>
        <w:t xml:space="preserve"> to </w:t>
      </w:r>
      <w:r w:rsidR="00F53E26">
        <w:rPr>
          <w:b/>
          <w:sz w:val="22"/>
          <w:szCs w:val="22"/>
        </w:rPr>
        <w:t>99</w:t>
      </w:r>
      <w:r w:rsidRPr="006D2FB4">
        <w:rPr>
          <w:b/>
          <w:sz w:val="22"/>
          <w:szCs w:val="22"/>
        </w:rPr>
        <w:t xml:space="preserve">; Fax No. (088) 856-9100 or email </w:t>
      </w:r>
      <w:proofErr w:type="spellStart"/>
      <w:r w:rsidRPr="006D2FB4">
        <w:rPr>
          <w:b/>
          <w:sz w:val="22"/>
          <w:szCs w:val="22"/>
        </w:rPr>
        <w:t>ad</w:t>
      </w:r>
      <w:proofErr w:type="spellEnd"/>
      <w:r w:rsidRPr="006D2FB4">
        <w:rPr>
          <w:b/>
          <w:sz w:val="22"/>
          <w:szCs w:val="22"/>
        </w:rPr>
        <w:t xml:space="preserve">: </w:t>
      </w:r>
      <w:r w:rsidR="00FA5FC2">
        <w:rPr>
          <w:b/>
          <w:sz w:val="22"/>
          <w:szCs w:val="22"/>
        </w:rPr>
        <w:t>ppamocdo@ppa.com.ph</w:t>
      </w:r>
      <w:r w:rsidR="00AE3395">
        <w:rPr>
          <w:b/>
          <w:sz w:val="22"/>
          <w:szCs w:val="22"/>
        </w:rPr>
        <w:t>.</w:t>
      </w:r>
    </w:p>
    <w:p w:rsidR="00AE3395" w:rsidRDefault="00AE3395" w:rsidP="00AE3395">
      <w:pPr>
        <w:jc w:val="both"/>
        <w:rPr>
          <w:b/>
          <w:sz w:val="22"/>
          <w:szCs w:val="22"/>
        </w:rPr>
      </w:pPr>
    </w:p>
    <w:p w:rsidR="00802C35" w:rsidRDefault="00802C35" w:rsidP="00AE3395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The schedule of property disposal activities is as follows:</w:t>
      </w:r>
    </w:p>
    <w:p w:rsidR="00033399" w:rsidRPr="006D2FB4" w:rsidRDefault="00033399" w:rsidP="00AE3395">
      <w:pPr>
        <w:jc w:val="both"/>
        <w:rPr>
          <w:sz w:val="22"/>
          <w:szCs w:val="22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40"/>
        <w:gridCol w:w="2070"/>
      </w:tblGrid>
      <w:tr w:rsidR="00802C35" w:rsidRPr="006D2FB4" w:rsidTr="001C3298">
        <w:tc>
          <w:tcPr>
            <w:tcW w:w="4860" w:type="dxa"/>
            <w:shd w:val="clear" w:color="auto" w:fill="auto"/>
          </w:tcPr>
          <w:p w:rsidR="00802C35" w:rsidRPr="006D2FB4" w:rsidRDefault="00802C35" w:rsidP="001C3298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PROPERTY DISPOSAL ACTIVITIES</w:t>
            </w:r>
          </w:p>
        </w:tc>
        <w:tc>
          <w:tcPr>
            <w:tcW w:w="2340" w:type="dxa"/>
            <w:shd w:val="clear" w:color="auto" w:fill="auto"/>
          </w:tcPr>
          <w:p w:rsidR="00802C35" w:rsidRPr="006D2FB4" w:rsidRDefault="00802C35" w:rsidP="001C3298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SCHEDULE</w:t>
            </w:r>
          </w:p>
        </w:tc>
        <w:tc>
          <w:tcPr>
            <w:tcW w:w="2070" w:type="dxa"/>
            <w:shd w:val="clear" w:color="auto" w:fill="auto"/>
          </w:tcPr>
          <w:p w:rsidR="00802C35" w:rsidRPr="006D2FB4" w:rsidRDefault="00802C35" w:rsidP="001C3298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>/Place</w:t>
            </w:r>
          </w:p>
        </w:tc>
      </w:tr>
      <w:tr w:rsidR="00802C35" w:rsidRPr="006D2FB4" w:rsidTr="001C3298">
        <w:tc>
          <w:tcPr>
            <w:tcW w:w="4860" w:type="dxa"/>
            <w:shd w:val="clear" w:color="auto" w:fill="auto"/>
          </w:tcPr>
          <w:p w:rsidR="00802C35" w:rsidRPr="00FD7619" w:rsidRDefault="00802C35" w:rsidP="001C3298">
            <w:pPr>
              <w:jc w:val="both"/>
            </w:pPr>
            <w:r w:rsidRPr="00FD7619">
              <w:t xml:space="preserve">1. Advertisement/Publication               </w:t>
            </w:r>
          </w:p>
        </w:tc>
        <w:tc>
          <w:tcPr>
            <w:tcW w:w="2340" w:type="dxa"/>
            <w:shd w:val="clear" w:color="auto" w:fill="auto"/>
          </w:tcPr>
          <w:p w:rsidR="00802C35" w:rsidRDefault="00F53E26" w:rsidP="001C3298">
            <w:pPr>
              <w:jc w:val="both"/>
            </w:pPr>
            <w:r w:rsidRPr="00FD7619">
              <w:t>07 October 2017</w:t>
            </w:r>
          </w:p>
          <w:p w:rsidR="00FD7619" w:rsidRPr="00FD7619" w:rsidRDefault="00FD7619" w:rsidP="001C3298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802C35" w:rsidRPr="006D2FB4" w:rsidRDefault="00FD7619" w:rsidP="001C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Newspaper/PPA Website</w:t>
            </w:r>
          </w:p>
        </w:tc>
      </w:tr>
      <w:tr w:rsidR="00802C35" w:rsidRPr="006D2FB4" w:rsidTr="001C3298">
        <w:tc>
          <w:tcPr>
            <w:tcW w:w="4860" w:type="dxa"/>
            <w:shd w:val="clear" w:color="auto" w:fill="auto"/>
          </w:tcPr>
          <w:p w:rsidR="00802C35" w:rsidRPr="00FD7619" w:rsidRDefault="00802C35" w:rsidP="001C3298">
            <w:pPr>
              <w:jc w:val="both"/>
            </w:pPr>
            <w:r w:rsidRPr="00FD7619">
              <w:t>2. Submission of Letter of Intent</w:t>
            </w:r>
          </w:p>
        </w:tc>
        <w:tc>
          <w:tcPr>
            <w:tcW w:w="2340" w:type="dxa"/>
            <w:shd w:val="clear" w:color="auto" w:fill="auto"/>
          </w:tcPr>
          <w:p w:rsidR="00802C35" w:rsidRPr="00FD7619" w:rsidRDefault="00FD7619" w:rsidP="001C3298">
            <w:pPr>
              <w:jc w:val="both"/>
            </w:pPr>
            <w:r w:rsidRPr="00FD7619">
              <w:t xml:space="preserve">07-23 October 2017 </w:t>
            </w:r>
            <w:r w:rsidR="00727C2E" w:rsidRPr="00FD7619"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802C35" w:rsidRPr="006D2FB4" w:rsidRDefault="00802C35" w:rsidP="001C3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8:00AM-5:00PM (PMO-MOC)</w:t>
            </w:r>
          </w:p>
        </w:tc>
      </w:tr>
      <w:tr w:rsidR="00802C35" w:rsidRPr="006D2FB4" w:rsidTr="001C3298">
        <w:tc>
          <w:tcPr>
            <w:tcW w:w="4860" w:type="dxa"/>
            <w:shd w:val="clear" w:color="auto" w:fill="auto"/>
          </w:tcPr>
          <w:p w:rsidR="00802C35" w:rsidRPr="00FD7619" w:rsidRDefault="00FD7619" w:rsidP="001C3298">
            <w:pPr>
              <w:jc w:val="both"/>
            </w:pPr>
            <w:r w:rsidRPr="00FD7619">
              <w:t>3</w:t>
            </w:r>
            <w:r w:rsidR="00802C35" w:rsidRPr="00FD7619">
              <w:t>. Issuance and Availability of Bidding documents/Pre-Auction Conference</w:t>
            </w:r>
          </w:p>
        </w:tc>
        <w:tc>
          <w:tcPr>
            <w:tcW w:w="2340" w:type="dxa"/>
            <w:shd w:val="clear" w:color="auto" w:fill="auto"/>
          </w:tcPr>
          <w:p w:rsidR="00802C35" w:rsidRDefault="00727C2E" w:rsidP="001C3298">
            <w:pPr>
              <w:jc w:val="both"/>
            </w:pPr>
            <w:r w:rsidRPr="00FD7619">
              <w:t>17 October 2017</w:t>
            </w:r>
          </w:p>
          <w:p w:rsidR="00FD7619" w:rsidRPr="00FD7619" w:rsidRDefault="00FD7619" w:rsidP="001C3298">
            <w:pPr>
              <w:jc w:val="both"/>
            </w:pPr>
            <w:r>
              <w:t>(Tuesday)</w:t>
            </w:r>
          </w:p>
        </w:tc>
        <w:tc>
          <w:tcPr>
            <w:tcW w:w="2070" w:type="dxa"/>
            <w:shd w:val="clear" w:color="auto" w:fill="auto"/>
          </w:tcPr>
          <w:p w:rsidR="00802C35" w:rsidRPr="006D2FB4" w:rsidRDefault="00727C2E" w:rsidP="001C3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802C35" w:rsidRPr="006D2FB4">
              <w:rPr>
                <w:sz w:val="22"/>
                <w:szCs w:val="22"/>
              </w:rPr>
              <w:t>AM (PMO</w:t>
            </w:r>
            <w:r w:rsidR="00802C35">
              <w:rPr>
                <w:sz w:val="22"/>
                <w:szCs w:val="22"/>
              </w:rPr>
              <w:t>-MOC</w:t>
            </w:r>
            <w:r w:rsidR="00802C35" w:rsidRPr="006D2FB4">
              <w:rPr>
                <w:sz w:val="22"/>
                <w:szCs w:val="22"/>
              </w:rPr>
              <w:t xml:space="preserve"> Conference Room)</w:t>
            </w:r>
          </w:p>
        </w:tc>
      </w:tr>
      <w:tr w:rsidR="00802C35" w:rsidRPr="006D2FB4" w:rsidTr="001C3298">
        <w:tc>
          <w:tcPr>
            <w:tcW w:w="4860" w:type="dxa"/>
            <w:shd w:val="clear" w:color="auto" w:fill="auto"/>
          </w:tcPr>
          <w:p w:rsidR="00802C35" w:rsidRPr="00FD7619" w:rsidRDefault="00FD7619" w:rsidP="001C3298">
            <w:pPr>
              <w:jc w:val="both"/>
            </w:pPr>
            <w:r w:rsidRPr="00FD7619">
              <w:t>4</w:t>
            </w:r>
            <w:r w:rsidR="00802C35" w:rsidRPr="00FD7619">
              <w:t>. Viewing &amp; Inspection of Unit</w:t>
            </w:r>
          </w:p>
        </w:tc>
        <w:tc>
          <w:tcPr>
            <w:tcW w:w="2340" w:type="dxa"/>
            <w:shd w:val="clear" w:color="auto" w:fill="auto"/>
          </w:tcPr>
          <w:p w:rsidR="00802C35" w:rsidRDefault="00461275" w:rsidP="001C3298">
            <w:pPr>
              <w:jc w:val="both"/>
            </w:pPr>
            <w:r w:rsidRPr="00FD7619">
              <w:t>17 October 2017</w:t>
            </w:r>
          </w:p>
          <w:p w:rsidR="00FD7619" w:rsidRPr="00FD7619" w:rsidRDefault="00FD7619" w:rsidP="001C3298">
            <w:pPr>
              <w:jc w:val="both"/>
            </w:pPr>
            <w:r>
              <w:t>(Tuesday)</w:t>
            </w:r>
          </w:p>
        </w:tc>
        <w:tc>
          <w:tcPr>
            <w:tcW w:w="2070" w:type="dxa"/>
            <w:shd w:val="clear" w:color="auto" w:fill="auto"/>
          </w:tcPr>
          <w:p w:rsidR="00802C35" w:rsidRPr="006D2FB4" w:rsidRDefault="00FD7619" w:rsidP="001C3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2C35" w:rsidRPr="006D2FB4">
              <w:rPr>
                <w:sz w:val="22"/>
                <w:szCs w:val="22"/>
              </w:rPr>
              <w:t xml:space="preserve">:00-5:00PM (Port of Cagayan de Oro – </w:t>
            </w:r>
            <w:r w:rsidR="00AE3395">
              <w:rPr>
                <w:sz w:val="22"/>
                <w:szCs w:val="22"/>
              </w:rPr>
              <w:t>Back-Up Area</w:t>
            </w:r>
            <w:r w:rsidR="00802C35" w:rsidRPr="006D2FB4">
              <w:rPr>
                <w:sz w:val="22"/>
                <w:szCs w:val="22"/>
              </w:rPr>
              <w:t>)</w:t>
            </w:r>
          </w:p>
        </w:tc>
      </w:tr>
      <w:tr w:rsidR="00802C35" w:rsidRPr="006D2FB4" w:rsidTr="001C3298">
        <w:tc>
          <w:tcPr>
            <w:tcW w:w="4860" w:type="dxa"/>
            <w:shd w:val="clear" w:color="auto" w:fill="auto"/>
          </w:tcPr>
          <w:p w:rsidR="00802C35" w:rsidRPr="00FD7619" w:rsidRDefault="00FD7619" w:rsidP="001C3298">
            <w:pPr>
              <w:jc w:val="both"/>
            </w:pPr>
            <w:r w:rsidRPr="00FD7619">
              <w:t xml:space="preserve">5. Deadline for Submission of </w:t>
            </w:r>
            <w:r w:rsidR="00802C35" w:rsidRPr="00FD7619">
              <w:t>Bids</w:t>
            </w:r>
          </w:p>
        </w:tc>
        <w:tc>
          <w:tcPr>
            <w:tcW w:w="2340" w:type="dxa"/>
            <w:shd w:val="clear" w:color="auto" w:fill="auto"/>
          </w:tcPr>
          <w:p w:rsidR="00802C35" w:rsidRDefault="00727C2E" w:rsidP="001C3298">
            <w:pPr>
              <w:jc w:val="both"/>
            </w:pPr>
            <w:r w:rsidRPr="00FD7619">
              <w:t>23 October 2017</w:t>
            </w:r>
          </w:p>
          <w:p w:rsidR="00FD7619" w:rsidRPr="00FD7619" w:rsidRDefault="00FD7619" w:rsidP="001C3298">
            <w:pPr>
              <w:jc w:val="both"/>
            </w:pPr>
            <w:r>
              <w:t>(Monday)</w:t>
            </w:r>
          </w:p>
        </w:tc>
        <w:tc>
          <w:tcPr>
            <w:tcW w:w="2070" w:type="dxa"/>
            <w:shd w:val="clear" w:color="auto" w:fill="auto"/>
          </w:tcPr>
          <w:p w:rsidR="00802C35" w:rsidRPr="006D2FB4" w:rsidRDefault="00727C2E" w:rsidP="001C3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9:30 </w:t>
            </w:r>
            <w:r w:rsidR="00802C35" w:rsidRPr="006D2FB4">
              <w:rPr>
                <w:sz w:val="22"/>
                <w:szCs w:val="22"/>
              </w:rPr>
              <w:t>A.M. (PMO</w:t>
            </w:r>
            <w:r w:rsidR="00802C35">
              <w:rPr>
                <w:sz w:val="22"/>
                <w:szCs w:val="22"/>
              </w:rPr>
              <w:t>-MOC</w:t>
            </w:r>
            <w:r w:rsidR="00802C35" w:rsidRPr="006D2FB4">
              <w:rPr>
                <w:sz w:val="22"/>
                <w:szCs w:val="22"/>
              </w:rPr>
              <w:t xml:space="preserve"> Conference Room)</w:t>
            </w:r>
          </w:p>
        </w:tc>
      </w:tr>
      <w:tr w:rsidR="00802C35" w:rsidRPr="006D2FB4" w:rsidTr="001C3298">
        <w:tc>
          <w:tcPr>
            <w:tcW w:w="4860" w:type="dxa"/>
            <w:shd w:val="clear" w:color="auto" w:fill="auto"/>
          </w:tcPr>
          <w:p w:rsidR="00802C35" w:rsidRPr="00FD7619" w:rsidRDefault="00FD7619" w:rsidP="001C3298">
            <w:pPr>
              <w:jc w:val="both"/>
            </w:pPr>
            <w:r w:rsidRPr="00FD7619">
              <w:t>6</w:t>
            </w:r>
            <w:r w:rsidR="00802C35" w:rsidRPr="00FD7619">
              <w:t>. Opening/Evaluation of Bids</w:t>
            </w:r>
          </w:p>
        </w:tc>
        <w:tc>
          <w:tcPr>
            <w:tcW w:w="2340" w:type="dxa"/>
            <w:shd w:val="clear" w:color="auto" w:fill="auto"/>
          </w:tcPr>
          <w:p w:rsidR="00802C35" w:rsidRDefault="00727C2E" w:rsidP="001C3298">
            <w:pPr>
              <w:jc w:val="both"/>
            </w:pPr>
            <w:r w:rsidRPr="00FD7619">
              <w:t>23 October 2017</w:t>
            </w:r>
          </w:p>
          <w:p w:rsidR="00FD7619" w:rsidRPr="00FD7619" w:rsidRDefault="00FD7619" w:rsidP="001C3298">
            <w:pPr>
              <w:jc w:val="both"/>
            </w:pPr>
            <w:r>
              <w:t>(Monday)</w:t>
            </w:r>
          </w:p>
        </w:tc>
        <w:tc>
          <w:tcPr>
            <w:tcW w:w="2070" w:type="dxa"/>
            <w:shd w:val="clear" w:color="auto" w:fill="auto"/>
          </w:tcPr>
          <w:p w:rsidR="00802C35" w:rsidRPr="006D2FB4" w:rsidRDefault="00727C2E" w:rsidP="001C3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802C35" w:rsidRPr="006D2FB4">
              <w:rPr>
                <w:sz w:val="22"/>
                <w:szCs w:val="22"/>
              </w:rPr>
              <w:t>AM (PMO</w:t>
            </w:r>
            <w:r w:rsidR="00802C35">
              <w:rPr>
                <w:sz w:val="22"/>
                <w:szCs w:val="22"/>
              </w:rPr>
              <w:t>-MOC</w:t>
            </w:r>
            <w:r w:rsidR="00802C35" w:rsidRPr="006D2FB4">
              <w:rPr>
                <w:sz w:val="22"/>
                <w:szCs w:val="22"/>
              </w:rPr>
              <w:t xml:space="preserve"> Conference Room)</w:t>
            </w:r>
          </w:p>
        </w:tc>
      </w:tr>
      <w:tr w:rsidR="00802C35" w:rsidRPr="006D2FB4" w:rsidTr="001C3298">
        <w:tc>
          <w:tcPr>
            <w:tcW w:w="4860" w:type="dxa"/>
            <w:shd w:val="clear" w:color="auto" w:fill="auto"/>
          </w:tcPr>
          <w:p w:rsidR="00802C35" w:rsidRPr="00FD7619" w:rsidRDefault="00FD7619" w:rsidP="001C3298">
            <w:pPr>
              <w:jc w:val="both"/>
            </w:pPr>
            <w:r w:rsidRPr="00FD7619">
              <w:lastRenderedPageBreak/>
              <w:t>7</w:t>
            </w:r>
            <w:r w:rsidR="00802C35" w:rsidRPr="00FD7619">
              <w:t>. Issuance of Notice of Award</w:t>
            </w:r>
          </w:p>
        </w:tc>
        <w:tc>
          <w:tcPr>
            <w:tcW w:w="2340" w:type="dxa"/>
            <w:shd w:val="clear" w:color="auto" w:fill="auto"/>
          </w:tcPr>
          <w:p w:rsidR="00802C35" w:rsidRDefault="00727C2E" w:rsidP="001C3298">
            <w:pPr>
              <w:jc w:val="both"/>
            </w:pPr>
            <w:r w:rsidRPr="00FD7619">
              <w:t>23 October 2017</w:t>
            </w:r>
          </w:p>
          <w:p w:rsidR="00FD7619" w:rsidRPr="00FD7619" w:rsidRDefault="00FD7619" w:rsidP="001C3298">
            <w:pPr>
              <w:jc w:val="both"/>
            </w:pPr>
            <w:r>
              <w:t>(Monday)</w:t>
            </w:r>
          </w:p>
        </w:tc>
        <w:tc>
          <w:tcPr>
            <w:tcW w:w="2070" w:type="dxa"/>
            <w:shd w:val="clear" w:color="auto" w:fill="auto"/>
          </w:tcPr>
          <w:p w:rsidR="00802C35" w:rsidRPr="006D2FB4" w:rsidRDefault="00802C35" w:rsidP="001C3298">
            <w:pPr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 xml:space="preserve"> </w:t>
            </w:r>
            <w:r w:rsidR="00727C2E">
              <w:rPr>
                <w:sz w:val="22"/>
                <w:szCs w:val="22"/>
              </w:rPr>
              <w:t xml:space="preserve">2:00 </w:t>
            </w:r>
            <w:r w:rsidRPr="006D2FB4">
              <w:rPr>
                <w:sz w:val="22"/>
                <w:szCs w:val="22"/>
              </w:rPr>
              <w:t xml:space="preserve">P.M. </w:t>
            </w:r>
            <w:r>
              <w:rPr>
                <w:sz w:val="22"/>
                <w:szCs w:val="22"/>
              </w:rPr>
              <w:t>(PMO-MOC Conference Room)</w:t>
            </w:r>
          </w:p>
        </w:tc>
      </w:tr>
    </w:tbl>
    <w:p w:rsidR="00802C35" w:rsidRPr="006D2FB4" w:rsidRDefault="00802C35" w:rsidP="00802C35">
      <w:pPr>
        <w:jc w:val="both"/>
        <w:rPr>
          <w:sz w:val="22"/>
          <w:szCs w:val="22"/>
        </w:rPr>
      </w:pPr>
    </w:p>
    <w:p w:rsidR="006A1E23" w:rsidRDefault="006A1E23" w:rsidP="00802C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public bidding/auction </w:t>
      </w:r>
      <w:r w:rsidR="001C443F">
        <w:rPr>
          <w:sz w:val="22"/>
          <w:szCs w:val="22"/>
        </w:rPr>
        <w:t xml:space="preserve">shall </w:t>
      </w:r>
      <w:r>
        <w:rPr>
          <w:sz w:val="22"/>
          <w:szCs w:val="22"/>
        </w:rPr>
        <w:t xml:space="preserve">be conducted pursuant to DBM </w:t>
      </w:r>
      <w:r w:rsidRPr="006A1E23">
        <w:rPr>
          <w:sz w:val="22"/>
          <w:szCs w:val="22"/>
        </w:rPr>
        <w:t xml:space="preserve">National Budget Circular No. 425 dated 28 January 1992, </w:t>
      </w:r>
      <w:r>
        <w:rPr>
          <w:sz w:val="22"/>
          <w:szCs w:val="22"/>
        </w:rPr>
        <w:t xml:space="preserve">in so far as it conforms </w:t>
      </w:r>
      <w:r w:rsidR="001C443F">
        <w:rPr>
          <w:sz w:val="22"/>
          <w:szCs w:val="22"/>
        </w:rPr>
        <w:t xml:space="preserve">and harmonizes </w:t>
      </w:r>
      <w:r>
        <w:rPr>
          <w:sz w:val="22"/>
          <w:szCs w:val="22"/>
        </w:rPr>
        <w:t xml:space="preserve">with pertinent COA </w:t>
      </w:r>
      <w:r w:rsidR="001C443F">
        <w:rPr>
          <w:sz w:val="22"/>
          <w:szCs w:val="22"/>
        </w:rPr>
        <w:t>i</w:t>
      </w:r>
      <w:r>
        <w:rPr>
          <w:sz w:val="22"/>
          <w:szCs w:val="22"/>
        </w:rPr>
        <w:t xml:space="preserve">ssuances </w:t>
      </w:r>
      <w:r w:rsidR="00481651">
        <w:rPr>
          <w:sz w:val="22"/>
          <w:szCs w:val="22"/>
        </w:rPr>
        <w:t xml:space="preserve">particularly </w:t>
      </w:r>
      <w:r w:rsidRPr="006A1E23">
        <w:rPr>
          <w:sz w:val="22"/>
          <w:szCs w:val="22"/>
        </w:rPr>
        <w:t xml:space="preserve">Memorandum No. 88-569 dated 12 August 1988 and Memorandum No. 92-769 </w:t>
      </w:r>
      <w:r>
        <w:rPr>
          <w:sz w:val="22"/>
          <w:szCs w:val="22"/>
        </w:rPr>
        <w:t xml:space="preserve">dated </w:t>
      </w:r>
      <w:r w:rsidRPr="006A1E23">
        <w:rPr>
          <w:sz w:val="22"/>
          <w:szCs w:val="22"/>
        </w:rPr>
        <w:t>29 June 1992.</w:t>
      </w:r>
    </w:p>
    <w:p w:rsidR="006A1E23" w:rsidRDefault="006A1E23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Interested bidders</w:t>
      </w:r>
      <w:r w:rsidR="001C443F">
        <w:rPr>
          <w:sz w:val="22"/>
          <w:szCs w:val="22"/>
        </w:rPr>
        <w:t>/auctioneers</w:t>
      </w:r>
      <w:r w:rsidRPr="006D2FB4">
        <w:rPr>
          <w:sz w:val="22"/>
          <w:szCs w:val="22"/>
        </w:rPr>
        <w:t xml:space="preserve"> shall </w:t>
      </w:r>
      <w:r w:rsidR="00B9398C">
        <w:rPr>
          <w:sz w:val="22"/>
          <w:szCs w:val="22"/>
        </w:rPr>
        <w:t>submit a</w:t>
      </w:r>
      <w:r w:rsidRPr="006D2FB4">
        <w:rPr>
          <w:sz w:val="22"/>
          <w:szCs w:val="22"/>
        </w:rPr>
        <w:t xml:space="preserve"> Letter of Intent (LOI) addressed to Chairperson of the Disposal Committee </w:t>
      </w:r>
      <w:r w:rsidR="00B9398C">
        <w:rPr>
          <w:sz w:val="22"/>
          <w:szCs w:val="22"/>
        </w:rPr>
        <w:t xml:space="preserve">along </w:t>
      </w:r>
      <w:r w:rsidRPr="006D2FB4">
        <w:rPr>
          <w:sz w:val="22"/>
          <w:szCs w:val="22"/>
        </w:rPr>
        <w:t xml:space="preserve">with </w:t>
      </w:r>
      <w:r w:rsidR="00B9398C">
        <w:rPr>
          <w:sz w:val="22"/>
          <w:szCs w:val="22"/>
        </w:rPr>
        <w:t>pertinent</w:t>
      </w:r>
      <w:r w:rsidRPr="006D2FB4">
        <w:rPr>
          <w:sz w:val="22"/>
          <w:szCs w:val="22"/>
        </w:rPr>
        <w:t xml:space="preserve"> legal </w:t>
      </w:r>
      <w:r w:rsidR="001C443F">
        <w:rPr>
          <w:sz w:val="22"/>
          <w:szCs w:val="22"/>
        </w:rPr>
        <w:t>requirements thru</w:t>
      </w:r>
      <w:r w:rsidR="00B9398C">
        <w:rPr>
          <w:sz w:val="22"/>
          <w:szCs w:val="22"/>
        </w:rPr>
        <w:t xml:space="preserve"> the Secretariat</w:t>
      </w:r>
      <w:r w:rsidRPr="006D2FB4">
        <w:rPr>
          <w:sz w:val="22"/>
          <w:szCs w:val="22"/>
        </w:rPr>
        <w:t>, such as but not limited to the following:</w:t>
      </w: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D2FB4">
        <w:rPr>
          <w:sz w:val="22"/>
          <w:szCs w:val="22"/>
        </w:rPr>
        <w:t xml:space="preserve">Current Business Permit; </w:t>
      </w:r>
    </w:p>
    <w:p w:rsidR="00802C35" w:rsidRDefault="00802C35" w:rsidP="00802C3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Registration certificate from SEC. Department of Trade and Industry (DTI) for sole propriet</w:t>
      </w:r>
      <w:r w:rsidR="00B9398C">
        <w:rPr>
          <w:sz w:val="22"/>
          <w:szCs w:val="22"/>
        </w:rPr>
        <w:t xml:space="preserve">orship, or CDA for cooperatives; and </w:t>
      </w:r>
    </w:p>
    <w:p w:rsidR="00B9398C" w:rsidRPr="006D2FB4" w:rsidRDefault="00B9398C" w:rsidP="00802C3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Certificate of Site Inspection duly signed by the Administrative Manager</w:t>
      </w:r>
      <w:r w:rsidR="00481651">
        <w:rPr>
          <w:sz w:val="22"/>
          <w:szCs w:val="22"/>
        </w:rPr>
        <w:t xml:space="preserve"> of this Office</w:t>
      </w:r>
      <w:r>
        <w:rPr>
          <w:sz w:val="22"/>
          <w:szCs w:val="22"/>
        </w:rPr>
        <w:t>.</w:t>
      </w: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 xml:space="preserve">The said Letter of Intent together with the </w:t>
      </w:r>
      <w:r w:rsidR="001C443F">
        <w:rPr>
          <w:sz w:val="22"/>
          <w:szCs w:val="22"/>
        </w:rPr>
        <w:t xml:space="preserve">required attachments, </w:t>
      </w:r>
      <w:r w:rsidR="00481651">
        <w:rPr>
          <w:sz w:val="22"/>
          <w:szCs w:val="22"/>
        </w:rPr>
        <w:t>and the proposed bid</w:t>
      </w:r>
      <w:r w:rsidR="001C443F">
        <w:rPr>
          <w:sz w:val="22"/>
          <w:szCs w:val="22"/>
        </w:rPr>
        <w:t>/</w:t>
      </w:r>
      <w:r w:rsidR="00481651">
        <w:rPr>
          <w:sz w:val="22"/>
          <w:szCs w:val="22"/>
        </w:rPr>
        <w:t xml:space="preserve">buying price </w:t>
      </w:r>
      <w:r w:rsidRPr="006D2FB4">
        <w:rPr>
          <w:sz w:val="22"/>
          <w:szCs w:val="22"/>
        </w:rPr>
        <w:t xml:space="preserve">should be enclosed in </w:t>
      </w:r>
      <w:r w:rsidR="004661B3">
        <w:rPr>
          <w:sz w:val="22"/>
          <w:szCs w:val="22"/>
        </w:rPr>
        <w:t>two (2) separately</w:t>
      </w:r>
      <w:r w:rsidRPr="006D2FB4">
        <w:rPr>
          <w:sz w:val="22"/>
          <w:szCs w:val="22"/>
        </w:rPr>
        <w:t xml:space="preserve"> sealed envelope</w:t>
      </w:r>
      <w:r>
        <w:rPr>
          <w:sz w:val="22"/>
          <w:szCs w:val="22"/>
        </w:rPr>
        <w:t xml:space="preserve">, and the deadline for its submission is </w:t>
      </w:r>
      <w:r w:rsidR="00B9398C">
        <w:rPr>
          <w:sz w:val="22"/>
          <w:szCs w:val="22"/>
        </w:rPr>
        <w:t xml:space="preserve">not later than </w:t>
      </w:r>
      <w:r>
        <w:rPr>
          <w:sz w:val="22"/>
          <w:szCs w:val="22"/>
        </w:rPr>
        <w:t>9:</w:t>
      </w:r>
      <w:r w:rsidR="00B9398C">
        <w:rPr>
          <w:sz w:val="22"/>
          <w:szCs w:val="22"/>
        </w:rPr>
        <w:t>30</w:t>
      </w:r>
      <w:r>
        <w:rPr>
          <w:sz w:val="22"/>
          <w:szCs w:val="22"/>
        </w:rPr>
        <w:t xml:space="preserve">AM of </w:t>
      </w:r>
      <w:r w:rsidR="00B9398C">
        <w:rPr>
          <w:sz w:val="22"/>
          <w:szCs w:val="22"/>
        </w:rPr>
        <w:t>23 October 2017</w:t>
      </w:r>
      <w:r>
        <w:rPr>
          <w:sz w:val="22"/>
          <w:szCs w:val="22"/>
        </w:rPr>
        <w:t xml:space="preserve">. </w:t>
      </w:r>
      <w:r w:rsidRPr="00B9398C">
        <w:rPr>
          <w:b/>
          <w:i/>
          <w:sz w:val="22"/>
          <w:szCs w:val="22"/>
        </w:rPr>
        <w:t xml:space="preserve">The Letter of Intent and </w:t>
      </w:r>
      <w:r w:rsidR="00B9398C">
        <w:rPr>
          <w:b/>
          <w:i/>
          <w:sz w:val="22"/>
          <w:szCs w:val="22"/>
        </w:rPr>
        <w:t xml:space="preserve">Proposed </w:t>
      </w:r>
      <w:r w:rsidRPr="00B9398C">
        <w:rPr>
          <w:b/>
          <w:i/>
          <w:sz w:val="22"/>
          <w:szCs w:val="22"/>
        </w:rPr>
        <w:t xml:space="preserve">Bids </w:t>
      </w:r>
      <w:r w:rsidR="00B9398C">
        <w:rPr>
          <w:b/>
          <w:i/>
          <w:sz w:val="22"/>
          <w:szCs w:val="22"/>
        </w:rPr>
        <w:t>submitted</w:t>
      </w:r>
      <w:r w:rsidRPr="00B9398C">
        <w:rPr>
          <w:b/>
          <w:i/>
          <w:sz w:val="22"/>
          <w:szCs w:val="22"/>
        </w:rPr>
        <w:t xml:space="preserve"> beyond the deadline will no longer be accepted</w:t>
      </w:r>
      <w:r>
        <w:rPr>
          <w:sz w:val="22"/>
          <w:szCs w:val="22"/>
        </w:rPr>
        <w:t>.</w:t>
      </w: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C03851" w:rsidP="00802C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Prospective bidders are invited to attend the Pre-auction Conference on </w:t>
      </w:r>
      <w:r w:rsidR="001C443F">
        <w:rPr>
          <w:sz w:val="22"/>
          <w:szCs w:val="22"/>
        </w:rPr>
        <w:t>the time, date and place indicated above</w:t>
      </w:r>
      <w:r>
        <w:rPr>
          <w:sz w:val="22"/>
          <w:szCs w:val="22"/>
        </w:rPr>
        <w:t xml:space="preserve">. </w:t>
      </w:r>
      <w:r w:rsidR="00802C35" w:rsidRPr="006D2FB4">
        <w:rPr>
          <w:sz w:val="22"/>
          <w:szCs w:val="22"/>
        </w:rPr>
        <w:t xml:space="preserve">Only </w:t>
      </w:r>
      <w:r w:rsidR="001C443F">
        <w:rPr>
          <w:sz w:val="22"/>
          <w:szCs w:val="22"/>
        </w:rPr>
        <w:t>bid tender</w:t>
      </w:r>
      <w:r w:rsidR="00481651">
        <w:rPr>
          <w:sz w:val="22"/>
          <w:szCs w:val="22"/>
        </w:rPr>
        <w:t xml:space="preserve"> which confirm compliance </w:t>
      </w:r>
      <w:r w:rsidR="001C443F">
        <w:rPr>
          <w:sz w:val="22"/>
          <w:szCs w:val="22"/>
        </w:rPr>
        <w:t>with</w:t>
      </w:r>
      <w:r w:rsidR="00481651">
        <w:rPr>
          <w:sz w:val="22"/>
          <w:szCs w:val="22"/>
        </w:rPr>
        <w:t xml:space="preserve"> the requirement</w:t>
      </w:r>
      <w:r w:rsidR="001C443F">
        <w:rPr>
          <w:sz w:val="22"/>
          <w:szCs w:val="22"/>
        </w:rPr>
        <w:t>s set forth in</w:t>
      </w:r>
      <w:r w:rsidR="00481651">
        <w:rPr>
          <w:sz w:val="22"/>
          <w:szCs w:val="22"/>
        </w:rPr>
        <w:t xml:space="preserve"> this </w:t>
      </w:r>
      <w:r w:rsidR="001C443F">
        <w:rPr>
          <w:sz w:val="22"/>
          <w:szCs w:val="22"/>
        </w:rPr>
        <w:t xml:space="preserve">public </w:t>
      </w:r>
      <w:r w:rsidR="00481651">
        <w:rPr>
          <w:sz w:val="22"/>
          <w:szCs w:val="22"/>
        </w:rPr>
        <w:t xml:space="preserve">bidding/auction </w:t>
      </w:r>
      <w:r w:rsidR="001C443F">
        <w:rPr>
          <w:sz w:val="22"/>
          <w:szCs w:val="22"/>
        </w:rPr>
        <w:t xml:space="preserve">as determined by the Property </w:t>
      </w:r>
      <w:proofErr w:type="gramStart"/>
      <w:r w:rsidR="001C443F">
        <w:rPr>
          <w:sz w:val="22"/>
          <w:szCs w:val="22"/>
        </w:rPr>
        <w:t>disposal</w:t>
      </w:r>
      <w:proofErr w:type="gramEnd"/>
      <w:r w:rsidR="001C443F">
        <w:rPr>
          <w:sz w:val="22"/>
          <w:szCs w:val="22"/>
        </w:rPr>
        <w:t xml:space="preserve"> Committee during the opening/evaluation of bids, </w:t>
      </w:r>
      <w:r w:rsidR="00802C35" w:rsidRPr="006D2FB4">
        <w:rPr>
          <w:sz w:val="22"/>
          <w:szCs w:val="22"/>
        </w:rPr>
        <w:t xml:space="preserve">shall be eligible </w:t>
      </w:r>
      <w:r w:rsidR="00481651">
        <w:rPr>
          <w:sz w:val="22"/>
          <w:szCs w:val="22"/>
        </w:rPr>
        <w:t xml:space="preserve">for the opening of </w:t>
      </w:r>
      <w:r>
        <w:rPr>
          <w:sz w:val="22"/>
          <w:szCs w:val="22"/>
        </w:rPr>
        <w:t xml:space="preserve">its bid proposal or buying price by using the form </w:t>
      </w:r>
      <w:r w:rsidR="004661B3">
        <w:rPr>
          <w:sz w:val="22"/>
          <w:szCs w:val="22"/>
        </w:rPr>
        <w:t>prescribed</w:t>
      </w:r>
      <w:r w:rsidR="00802C35" w:rsidRPr="006D2FB4">
        <w:rPr>
          <w:sz w:val="22"/>
          <w:szCs w:val="22"/>
        </w:rPr>
        <w:t>.</w:t>
      </w: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 xml:space="preserve">The bond shall be submitted together with the </w:t>
      </w:r>
      <w:r w:rsidR="001C443F">
        <w:rPr>
          <w:sz w:val="22"/>
          <w:szCs w:val="22"/>
        </w:rPr>
        <w:t>proposal or buying price</w:t>
      </w:r>
      <w:r w:rsidRPr="006D2FB4">
        <w:rPr>
          <w:sz w:val="22"/>
          <w:szCs w:val="22"/>
        </w:rPr>
        <w:t xml:space="preserve">, in accordance with the following conditions: 1.) At least 10% of the </w:t>
      </w:r>
      <w:r w:rsidR="00220986">
        <w:rPr>
          <w:sz w:val="22"/>
          <w:szCs w:val="22"/>
        </w:rPr>
        <w:t>proposed</w:t>
      </w:r>
      <w:r w:rsidRPr="006D2FB4">
        <w:rPr>
          <w:sz w:val="22"/>
          <w:szCs w:val="22"/>
        </w:rPr>
        <w:t xml:space="preserve"> bid</w:t>
      </w:r>
      <w:r w:rsidR="001C443F">
        <w:rPr>
          <w:sz w:val="22"/>
          <w:szCs w:val="22"/>
        </w:rPr>
        <w:t xml:space="preserve">/buying </w:t>
      </w:r>
      <w:r w:rsidRPr="006D2FB4">
        <w:rPr>
          <w:sz w:val="22"/>
          <w:szCs w:val="22"/>
        </w:rPr>
        <w:t>price, and 2.) should be in the form of cash, manager’s check, or cashier’s check acquired from a reputable bank within the area where the bidding</w:t>
      </w:r>
      <w:r w:rsidR="00AD1B7C">
        <w:rPr>
          <w:sz w:val="22"/>
          <w:szCs w:val="22"/>
        </w:rPr>
        <w:t>/auction</w:t>
      </w:r>
      <w:r w:rsidRPr="006D2FB4">
        <w:rPr>
          <w:sz w:val="22"/>
          <w:szCs w:val="22"/>
        </w:rPr>
        <w:t xml:space="preserve"> is to be held.</w:t>
      </w:r>
    </w:p>
    <w:p w:rsidR="00802C35" w:rsidRPr="006D2FB4" w:rsidRDefault="00802C35" w:rsidP="00802C35">
      <w:pPr>
        <w:rPr>
          <w:sz w:val="22"/>
          <w:szCs w:val="22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Bidders</w:t>
      </w:r>
      <w:r w:rsidR="001C443F">
        <w:rPr>
          <w:sz w:val="22"/>
          <w:szCs w:val="22"/>
        </w:rPr>
        <w:t>/auctioneers</w:t>
      </w:r>
      <w:r w:rsidRPr="006D2FB4">
        <w:rPr>
          <w:sz w:val="22"/>
          <w:szCs w:val="22"/>
        </w:rPr>
        <w:t xml:space="preserve"> </w:t>
      </w:r>
      <w:r w:rsidR="00AD1B7C">
        <w:rPr>
          <w:sz w:val="22"/>
          <w:szCs w:val="22"/>
        </w:rPr>
        <w:t xml:space="preserve">or its authorized representatives </w:t>
      </w:r>
      <w:r w:rsidRPr="006D2FB4">
        <w:rPr>
          <w:sz w:val="22"/>
          <w:szCs w:val="22"/>
        </w:rPr>
        <w:t>may inspect the above-mentioned properties before submitting their sealed bids to the Property Disposal Committee at the above stated place, date and time.</w:t>
      </w: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 xml:space="preserve">The Philippine Ports Authority reserves the right to accept or reject any Bid, to annul the auction/bidding process, and to reject all </w:t>
      </w:r>
      <w:r w:rsidR="00AD1B7C">
        <w:rPr>
          <w:sz w:val="22"/>
          <w:szCs w:val="22"/>
        </w:rPr>
        <w:t>bid proposal</w:t>
      </w:r>
      <w:r w:rsidRPr="006D2FB4">
        <w:rPr>
          <w:sz w:val="22"/>
          <w:szCs w:val="22"/>
        </w:rPr>
        <w:t xml:space="preserve"> at any time prior to award, without thereby incurring any liability to the affected </w:t>
      </w:r>
      <w:r w:rsidR="00AD1B7C">
        <w:rPr>
          <w:sz w:val="22"/>
          <w:szCs w:val="22"/>
        </w:rPr>
        <w:t>bidders/auctioneers</w:t>
      </w:r>
      <w:r w:rsidRPr="006D2FB4">
        <w:rPr>
          <w:sz w:val="22"/>
          <w:szCs w:val="22"/>
        </w:rPr>
        <w:t xml:space="preserve">. </w:t>
      </w: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Further information may be obtained from the:</w:t>
      </w: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jc w:val="both"/>
        <w:outlineLvl w:val="0"/>
        <w:rPr>
          <w:i/>
          <w:sz w:val="22"/>
          <w:szCs w:val="22"/>
        </w:rPr>
      </w:pPr>
      <w:r w:rsidRPr="001C443F">
        <w:rPr>
          <w:b/>
          <w:i/>
          <w:sz w:val="22"/>
          <w:szCs w:val="22"/>
        </w:rPr>
        <w:t>Secretariat</w:t>
      </w:r>
      <w:r w:rsidRPr="006D2FB4">
        <w:rPr>
          <w:i/>
          <w:sz w:val="22"/>
          <w:szCs w:val="22"/>
        </w:rPr>
        <w:t xml:space="preserve">, Property Disposal Committee </w:t>
      </w:r>
    </w:p>
    <w:p w:rsidR="00802C35" w:rsidRPr="006D2FB4" w:rsidRDefault="00802C35" w:rsidP="00802C35">
      <w:pPr>
        <w:jc w:val="both"/>
        <w:rPr>
          <w:i/>
          <w:sz w:val="22"/>
          <w:szCs w:val="22"/>
        </w:rPr>
      </w:pPr>
      <w:r w:rsidRPr="006D2FB4">
        <w:rPr>
          <w:i/>
          <w:sz w:val="22"/>
          <w:szCs w:val="22"/>
        </w:rPr>
        <w:t>PHILIPPINE PORTS AUTHORITY, PDO-</w:t>
      </w:r>
      <w:proofErr w:type="spellStart"/>
      <w:r w:rsidRPr="006D2FB4">
        <w:rPr>
          <w:i/>
          <w:sz w:val="22"/>
          <w:szCs w:val="22"/>
        </w:rPr>
        <w:t>Misamis</w:t>
      </w:r>
      <w:proofErr w:type="spellEnd"/>
      <w:r w:rsidRPr="006D2FB4">
        <w:rPr>
          <w:i/>
          <w:sz w:val="22"/>
          <w:szCs w:val="22"/>
        </w:rPr>
        <w:t xml:space="preserve"> Oriental/Cagayan de Oro</w:t>
      </w:r>
    </w:p>
    <w:p w:rsidR="00802C35" w:rsidRPr="006D2FB4" w:rsidRDefault="005C2B8F" w:rsidP="00802C3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Gate 3, PMO MO/C Bldg. 1, </w:t>
      </w:r>
      <w:r w:rsidR="00802C35" w:rsidRPr="006D2FB4">
        <w:rPr>
          <w:i/>
          <w:sz w:val="22"/>
          <w:szCs w:val="22"/>
        </w:rPr>
        <w:t xml:space="preserve">Port Area, </w:t>
      </w:r>
      <w:proofErr w:type="spellStart"/>
      <w:r>
        <w:rPr>
          <w:i/>
          <w:sz w:val="22"/>
          <w:szCs w:val="22"/>
        </w:rPr>
        <w:t>Macabalan</w:t>
      </w:r>
      <w:proofErr w:type="spellEnd"/>
      <w:r>
        <w:rPr>
          <w:i/>
          <w:sz w:val="22"/>
          <w:szCs w:val="22"/>
        </w:rPr>
        <w:t xml:space="preserve">, </w:t>
      </w:r>
      <w:r w:rsidR="00802C35" w:rsidRPr="006D2FB4">
        <w:rPr>
          <w:i/>
          <w:sz w:val="22"/>
          <w:szCs w:val="22"/>
        </w:rPr>
        <w:t>Cagayan de Oro City</w:t>
      </w:r>
    </w:p>
    <w:p w:rsidR="00802C35" w:rsidRPr="006D2FB4" w:rsidRDefault="005C2B8F" w:rsidP="00802C3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</w:t>
      </w:r>
      <w:r w:rsidR="00802C35" w:rsidRPr="006D2FB4">
        <w:rPr>
          <w:i/>
          <w:sz w:val="22"/>
          <w:szCs w:val="22"/>
        </w:rPr>
        <w:t xml:space="preserve">ax No.  (088) </w:t>
      </w:r>
      <w:r>
        <w:rPr>
          <w:i/>
          <w:sz w:val="22"/>
          <w:szCs w:val="22"/>
        </w:rPr>
        <w:t>856-9100</w:t>
      </w:r>
      <w:r w:rsidR="00802C35" w:rsidRPr="006D2FB4">
        <w:rPr>
          <w:i/>
          <w:sz w:val="22"/>
          <w:szCs w:val="22"/>
        </w:rPr>
        <w:t>;</w:t>
      </w:r>
      <w:r>
        <w:rPr>
          <w:i/>
          <w:sz w:val="22"/>
          <w:szCs w:val="22"/>
        </w:rPr>
        <w:t xml:space="preserve"> Tel. No. (088) 856-9098 to 99;</w:t>
      </w:r>
      <w:bookmarkStart w:id="0" w:name="_GoBack"/>
      <w:bookmarkEnd w:id="0"/>
      <w:r w:rsidR="00802C35" w:rsidRPr="006D2FB4">
        <w:rPr>
          <w:i/>
          <w:sz w:val="22"/>
          <w:szCs w:val="22"/>
        </w:rPr>
        <w:t xml:space="preserve"> </w:t>
      </w:r>
    </w:p>
    <w:p w:rsidR="00802C35" w:rsidRPr="006D2FB4" w:rsidRDefault="00802C35" w:rsidP="00802C35">
      <w:pPr>
        <w:jc w:val="both"/>
        <w:rPr>
          <w:i/>
          <w:sz w:val="22"/>
          <w:szCs w:val="22"/>
        </w:rPr>
      </w:pPr>
      <w:r w:rsidRPr="006D2FB4">
        <w:rPr>
          <w:i/>
          <w:sz w:val="22"/>
          <w:szCs w:val="22"/>
        </w:rPr>
        <w:t xml:space="preserve">or email </w:t>
      </w:r>
      <w:proofErr w:type="spellStart"/>
      <w:r w:rsidRPr="006D2FB4">
        <w:rPr>
          <w:i/>
          <w:sz w:val="22"/>
          <w:szCs w:val="22"/>
        </w:rPr>
        <w:t>ad</w:t>
      </w:r>
      <w:proofErr w:type="spellEnd"/>
      <w:r w:rsidRPr="006D2FB4">
        <w:rPr>
          <w:i/>
          <w:sz w:val="22"/>
          <w:szCs w:val="22"/>
        </w:rPr>
        <w:t xml:space="preserve">: </w:t>
      </w:r>
      <w:r w:rsidR="00AD1B7C">
        <w:rPr>
          <w:i/>
          <w:sz w:val="22"/>
          <w:szCs w:val="22"/>
        </w:rPr>
        <w:t>ppamocdo@ppa.com.ph</w:t>
      </w:r>
      <w:r w:rsidRPr="006D2FB4">
        <w:rPr>
          <w:i/>
          <w:sz w:val="22"/>
          <w:szCs w:val="22"/>
        </w:rPr>
        <w:t xml:space="preserve">  </w:t>
      </w: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802C35" w:rsidP="00802C35">
      <w:pPr>
        <w:jc w:val="both"/>
        <w:rPr>
          <w:sz w:val="22"/>
          <w:szCs w:val="22"/>
        </w:rPr>
      </w:pPr>
    </w:p>
    <w:p w:rsidR="00802C35" w:rsidRPr="006D2FB4" w:rsidRDefault="00AD1B7C" w:rsidP="00802C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(Original Signed)</w:t>
      </w:r>
      <w:r w:rsidR="00802C35" w:rsidRPr="006D2FB4">
        <w:rPr>
          <w:sz w:val="22"/>
          <w:szCs w:val="22"/>
        </w:rPr>
        <w:tab/>
        <w:t xml:space="preserve">      </w:t>
      </w:r>
    </w:p>
    <w:p w:rsidR="00802C35" w:rsidRPr="006D2FB4" w:rsidRDefault="00802C35" w:rsidP="00802C35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GUILBERT ANTHONY D. GIMENO</w:t>
      </w:r>
    </w:p>
    <w:p w:rsidR="00802C35" w:rsidRPr="006D2FB4" w:rsidRDefault="00802C35" w:rsidP="00802C35">
      <w:pPr>
        <w:outlineLvl w:val="0"/>
        <w:rPr>
          <w:b/>
          <w:sz w:val="22"/>
          <w:szCs w:val="22"/>
          <w:u w:val="single"/>
        </w:rPr>
      </w:pPr>
      <w:r w:rsidRPr="006D2FB4">
        <w:rPr>
          <w:sz w:val="22"/>
          <w:szCs w:val="22"/>
        </w:rPr>
        <w:t>Chair</w:t>
      </w:r>
      <w:r>
        <w:rPr>
          <w:sz w:val="22"/>
          <w:szCs w:val="22"/>
        </w:rPr>
        <w:t>person</w:t>
      </w:r>
      <w:r w:rsidRPr="006D2FB4">
        <w:rPr>
          <w:sz w:val="22"/>
          <w:szCs w:val="22"/>
        </w:rPr>
        <w:t>,</w:t>
      </w:r>
      <w:r w:rsidRPr="006D2FB4">
        <w:rPr>
          <w:b/>
          <w:sz w:val="22"/>
          <w:szCs w:val="22"/>
        </w:rPr>
        <w:t xml:space="preserve"> </w:t>
      </w:r>
      <w:r w:rsidRPr="006D2FB4">
        <w:rPr>
          <w:sz w:val="22"/>
          <w:szCs w:val="22"/>
        </w:rPr>
        <w:t>Property Disposal Committee</w:t>
      </w:r>
    </w:p>
    <w:p w:rsidR="00802C35" w:rsidRPr="006D2FB4" w:rsidRDefault="00802C35" w:rsidP="00802C35"/>
    <w:p w:rsidR="00DB68FA" w:rsidRDefault="00DB68FA"/>
    <w:sectPr w:rsidR="00DB68FA" w:rsidSect="00FA5FC2">
      <w:headerReference w:type="even" r:id="rId8"/>
      <w:footerReference w:type="default" r:id="rId9"/>
      <w:headerReference w:type="first" r:id="rId10"/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CF" w:rsidRDefault="00CF46D3">
      <w:r>
        <w:separator/>
      </w:r>
    </w:p>
  </w:endnote>
  <w:endnote w:type="continuationSeparator" w:id="0">
    <w:p w:rsidR="00E36BCF" w:rsidRDefault="00CF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CB" w:rsidRPr="003A4391" w:rsidRDefault="00CF46D3" w:rsidP="00AE6AFA">
    <w:pPr>
      <w:framePr w:wrap="around" w:vAnchor="text" w:hAnchor="margin" w:xAlign="center" w:y="1"/>
      <w:rPr>
        <w:sz w:val="20"/>
      </w:rPr>
    </w:pPr>
    <w:r w:rsidRPr="003A4391">
      <w:rPr>
        <w:sz w:val="20"/>
      </w:rPr>
      <w:fldChar w:fldCharType="begin"/>
    </w:r>
    <w:r w:rsidRPr="003A4391">
      <w:rPr>
        <w:sz w:val="20"/>
      </w:rPr>
      <w:instrText xml:space="preserve">PAGE  </w:instrText>
    </w:r>
    <w:r w:rsidRPr="003A4391">
      <w:rPr>
        <w:sz w:val="20"/>
      </w:rPr>
      <w:fldChar w:fldCharType="separate"/>
    </w:r>
    <w:r w:rsidR="005C2B8F">
      <w:rPr>
        <w:noProof/>
        <w:sz w:val="20"/>
      </w:rPr>
      <w:t>2</w:t>
    </w:r>
    <w:r w:rsidRPr="003A4391">
      <w:rPr>
        <w:sz w:val="20"/>
      </w:rPr>
      <w:fldChar w:fldCharType="end"/>
    </w:r>
  </w:p>
  <w:p w:rsidR="007B1FCB" w:rsidRPr="00B673DC" w:rsidRDefault="001612B1" w:rsidP="00AE6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CF" w:rsidRDefault="00CF46D3">
      <w:r>
        <w:separator/>
      </w:r>
    </w:p>
  </w:footnote>
  <w:footnote w:type="continuationSeparator" w:id="0">
    <w:p w:rsidR="00E36BCF" w:rsidRDefault="00CF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CB" w:rsidRDefault="001612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8144" o:spid="_x0000_s1026" type="#_x0000_t136" style="position:absolute;left:0;text-align:left;margin-left:0;margin-top:0;width:690.75pt;height:146.25pt;rotation:315;z-index:-251659264;mso-position-horizontal:center;mso-position-horizontal-relative:margin;mso-position-vertical:center;mso-position-vertical-relative:margin" o:allowincell="f" fillcolor="#a5a5a5" stroked="f">
          <v:textpath style="font-family:&quot;Calibri&quot;;font-size:120pt" string="Working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CB" w:rsidRDefault="001612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8143" o:spid="_x0000_s1025" type="#_x0000_t136" style="position:absolute;left:0;text-align:left;margin-left:0;margin-top:0;width:690.75pt;height:146.25pt;rotation:315;z-index:-251658240;mso-position-horizontal:center;mso-position-horizontal-relative:margin;mso-position-vertical:center;mso-position-vertical-relative:margin" o:allowincell="f" fillcolor="#a5a5a5" stroked="f">
          <v:textpath style="font-family:&quot;Calibri&quot;;font-size:120pt" string="Working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2D3C"/>
    <w:multiLevelType w:val="hybridMultilevel"/>
    <w:tmpl w:val="6F3263EE"/>
    <w:lvl w:ilvl="0" w:tplc="3EC6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5"/>
    <w:rsid w:val="00033399"/>
    <w:rsid w:val="000D0B9E"/>
    <w:rsid w:val="001C443F"/>
    <w:rsid w:val="00220986"/>
    <w:rsid w:val="002D17EA"/>
    <w:rsid w:val="00461275"/>
    <w:rsid w:val="004661B3"/>
    <w:rsid w:val="00481651"/>
    <w:rsid w:val="004F1E1A"/>
    <w:rsid w:val="005C2B8F"/>
    <w:rsid w:val="006A1E23"/>
    <w:rsid w:val="00727C2E"/>
    <w:rsid w:val="0078517C"/>
    <w:rsid w:val="00802C35"/>
    <w:rsid w:val="00854615"/>
    <w:rsid w:val="009A54C3"/>
    <w:rsid w:val="00AC0C02"/>
    <w:rsid w:val="00AD1B7C"/>
    <w:rsid w:val="00AE3395"/>
    <w:rsid w:val="00B9398C"/>
    <w:rsid w:val="00C03851"/>
    <w:rsid w:val="00CF46D3"/>
    <w:rsid w:val="00DB68FA"/>
    <w:rsid w:val="00E36BCF"/>
    <w:rsid w:val="00F20603"/>
    <w:rsid w:val="00F53E26"/>
    <w:rsid w:val="00FA5FC2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374FF"/>
  <w15:chartTrackingRefBased/>
  <w15:docId w15:val="{E1AA6451-CD2A-4B38-BDAD-A4755CB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C3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C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02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P. Nalzaro</dc:creator>
  <cp:keywords/>
  <dc:description/>
  <cp:lastModifiedBy>Ryan P. Nalzaro</cp:lastModifiedBy>
  <cp:revision>15</cp:revision>
  <dcterms:created xsi:type="dcterms:W3CDTF">2017-09-21T05:58:00Z</dcterms:created>
  <dcterms:modified xsi:type="dcterms:W3CDTF">2017-10-06T05:14:00Z</dcterms:modified>
</cp:coreProperties>
</file>