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4" w:rsidRDefault="00BD5474" w:rsidP="00BD547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-215900</wp:posOffset>
            </wp:positionV>
            <wp:extent cx="2428875" cy="5270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</w:t>
      </w:r>
    </w:p>
    <w:p w:rsidR="00BD5474" w:rsidRPr="00757AF9" w:rsidRDefault="00BD5474" w:rsidP="00BD5474">
      <w:pPr>
        <w:pStyle w:val="Heading3"/>
        <w:numPr>
          <w:ilvl w:val="0"/>
          <w:numId w:val="0"/>
        </w:numPr>
        <w:spacing w:before="0" w:after="0" w:line="240" w:lineRule="auto"/>
        <w:ind w:left="720" w:hanging="720"/>
        <w:jc w:val="center"/>
        <w:rPr>
          <w:b w:val="0"/>
          <w:sz w:val="22"/>
        </w:rPr>
      </w:pPr>
      <w:r w:rsidRPr="00757AF9">
        <w:rPr>
          <w:b w:val="0"/>
          <w:sz w:val="22"/>
        </w:rPr>
        <w:t>PORT MANAGEMENT OFFICE OF NEGROS ORIENTAL/SIQUIJOR</w:t>
      </w:r>
    </w:p>
    <w:p w:rsidR="00BD5474" w:rsidRPr="004D2E0A" w:rsidRDefault="00BD5474" w:rsidP="00BD5474">
      <w:pPr>
        <w:spacing w:before="0" w:after="0" w:line="240" w:lineRule="auto"/>
        <w:jc w:val="center"/>
        <w:rPr>
          <w:rFonts w:ascii="Tahoma" w:hAnsi="Tahoma" w:cs="Tahoma"/>
          <w:sz w:val="18"/>
        </w:rPr>
      </w:pPr>
      <w:r w:rsidRPr="004D2E0A">
        <w:rPr>
          <w:rFonts w:ascii="Tahoma" w:hAnsi="Tahoma" w:cs="Tahoma"/>
          <w:sz w:val="18"/>
        </w:rPr>
        <w:t>PORT AREA, BRGY. LOOC, DUMAGUETE CITY</w:t>
      </w:r>
    </w:p>
    <w:p w:rsidR="00BD5474" w:rsidRPr="002A5CC4" w:rsidRDefault="00BD5474" w:rsidP="00BD5474">
      <w:pPr>
        <w:pStyle w:val="Heading4"/>
      </w:pPr>
      <w:r w:rsidRPr="002A5CC4">
        <w:t xml:space="preserve">Tel. Nos. (035) 225-0973 to 74; 422-8913 to </w:t>
      </w:r>
      <w:proofErr w:type="gramStart"/>
      <w:r w:rsidRPr="002A5CC4">
        <w:t>14;  Email</w:t>
      </w:r>
      <w:proofErr w:type="gramEnd"/>
      <w:r w:rsidRPr="002A5CC4">
        <w:t xml:space="preserve"> Add: ppadumaguete@yahoo.com </w:t>
      </w:r>
    </w:p>
    <w:p w:rsidR="00BD5474" w:rsidRDefault="00BD5474" w:rsidP="00BD5474">
      <w:pPr>
        <w:spacing w:before="0" w:after="0" w:line="240" w:lineRule="auto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669280" cy="0"/>
                <wp:effectExtent l="1333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90D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7pt" to="44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" strokecolor="#36f"/>
            </w:pict>
          </mc:Fallback>
        </mc:AlternateConten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rFonts w:ascii="Times New Roman Bold" w:hAnsi="Times New Roman Bold"/>
          <w:b/>
          <w:smallCaps/>
          <w:sz w:val="44"/>
          <w:szCs w:val="28"/>
        </w:rPr>
      </w:pPr>
      <w:r w:rsidRPr="00E047B6">
        <w:rPr>
          <w:rFonts w:ascii="Times New Roman Bold" w:hAnsi="Times New Roman Bold"/>
          <w:b/>
          <w:smallCaps/>
          <w:sz w:val="48"/>
          <w:szCs w:val="32"/>
        </w:rPr>
        <w:t>Invitation to Bid</w:t>
      </w: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BD5474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  <w:r w:rsidRPr="00E047B6">
        <w:rPr>
          <w:b/>
          <w:sz w:val="22"/>
        </w:rPr>
        <w:t>FOR</w:t>
      </w:r>
    </w:p>
    <w:p w:rsidR="00BD5474" w:rsidRPr="00E047B6" w:rsidRDefault="00BD5474" w:rsidP="00BD5474">
      <w:pPr>
        <w:tabs>
          <w:tab w:val="center" w:pos="4680"/>
        </w:tabs>
        <w:spacing w:before="0" w:after="0" w:line="240" w:lineRule="auto"/>
        <w:jc w:val="center"/>
        <w:rPr>
          <w:b/>
          <w:sz w:val="22"/>
        </w:rPr>
      </w:pPr>
    </w:p>
    <w:p w:rsidR="0062232F" w:rsidRDefault="0062232F" w:rsidP="0062232F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Repair of Covered Walkway and Gate</w:t>
      </w:r>
    </w:p>
    <w:p w:rsidR="0062232F" w:rsidRPr="000F530D" w:rsidRDefault="0062232F" w:rsidP="0062232F">
      <w:pPr>
        <w:spacing w:before="0"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Port of Siquijor, Siquijor (NR</w:t>
      </w:r>
      <w:r w:rsidRPr="00961505">
        <w:rPr>
          <w:b/>
          <w:i/>
          <w:sz w:val="28"/>
        </w:rPr>
        <w:t>P-NOS-01-17)</w:t>
      </w:r>
    </w:p>
    <w:p w:rsidR="0062232F" w:rsidRPr="00286A7C" w:rsidRDefault="0062232F" w:rsidP="0062232F">
      <w:pPr>
        <w:spacing w:after="0" w:line="240" w:lineRule="auto"/>
        <w:jc w:val="center"/>
        <w:rPr>
          <w:b/>
          <w:i/>
          <w:sz w:val="36"/>
        </w:rPr>
      </w:pPr>
    </w:p>
    <w:p w:rsidR="0062232F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 w:rsidRPr="00AA6549">
        <w:rPr>
          <w:b/>
          <w:i/>
          <w:spacing w:val="-2"/>
        </w:rPr>
        <w:t>Philippine Ports Authority, Port Management Office of Negros Oriental-Siquijor (PPA, PMO-NO</w:t>
      </w:r>
      <w:r>
        <w:rPr>
          <w:b/>
          <w:i/>
          <w:spacing w:val="-2"/>
        </w:rPr>
        <w:t>/</w:t>
      </w:r>
      <w:r w:rsidRPr="00AA6549">
        <w:rPr>
          <w:b/>
          <w:i/>
          <w:spacing w:val="-2"/>
        </w:rPr>
        <w:t>S)</w:t>
      </w:r>
      <w:r w:rsidRPr="00286A7C">
        <w:rPr>
          <w:spacing w:val="-2"/>
        </w:rPr>
        <w:t>, through the</w:t>
      </w:r>
      <w:r w:rsidRPr="00FD0A69">
        <w:rPr>
          <w:spacing w:val="-2"/>
        </w:rPr>
        <w:t xml:space="preserve"> Corporate Budget of the Authority for CY 2017 </w:t>
      </w:r>
      <w:r w:rsidRPr="00286A7C">
        <w:rPr>
          <w:spacing w:val="-2"/>
        </w:rPr>
        <w:t xml:space="preserve">intends to apply the sum of </w:t>
      </w:r>
      <w:r w:rsidRPr="00FD0A69">
        <w:rPr>
          <w:b/>
          <w:spacing w:val="-2"/>
        </w:rPr>
        <w:t xml:space="preserve">₱ </w:t>
      </w:r>
      <w:r>
        <w:rPr>
          <w:b/>
          <w:spacing w:val="-2"/>
        </w:rPr>
        <w:t>11,583,253.72,</w:t>
      </w:r>
      <w:r w:rsidRPr="00FD0A69">
        <w:rPr>
          <w:spacing w:val="-2"/>
        </w:rPr>
        <w:t xml:space="preserve"> </w:t>
      </w:r>
      <w:r w:rsidRPr="00286A7C">
        <w:rPr>
          <w:spacing w:val="-2"/>
        </w:rPr>
        <w:t xml:space="preserve">being the Approved Budget for the Contract (ABC) to payments under the contract for </w:t>
      </w:r>
      <w:r>
        <w:rPr>
          <w:b/>
          <w:spacing w:val="-2"/>
        </w:rPr>
        <w:t>Repair of Covered Walkway and Gate,</w:t>
      </w:r>
      <w:r w:rsidRPr="00FD0A69">
        <w:rPr>
          <w:b/>
          <w:spacing w:val="-2"/>
        </w:rPr>
        <w:t xml:space="preserve"> Port of Siquijor, Siquijor (</w:t>
      </w:r>
      <w:r>
        <w:rPr>
          <w:b/>
          <w:spacing w:val="-2"/>
        </w:rPr>
        <w:t>NR</w:t>
      </w:r>
      <w:r w:rsidRPr="00FD0A69">
        <w:rPr>
          <w:b/>
          <w:spacing w:val="-2"/>
        </w:rPr>
        <w:t xml:space="preserve">P-NOS-01-17). </w:t>
      </w:r>
      <w:r w:rsidRPr="00286A7C">
        <w:rPr>
          <w:spacing w:val="-2"/>
        </w:rPr>
        <w:t>Bids received in excess of the ABC shall be automatically rejected at bid opening.</w:t>
      </w:r>
    </w:p>
    <w:p w:rsidR="0062232F" w:rsidRPr="00067E30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  <w:szCs w:val="24"/>
        </w:rPr>
      </w:pPr>
      <w:r w:rsidRPr="00067E30">
        <w:rPr>
          <w:spacing w:val="-2"/>
        </w:rPr>
        <w:t xml:space="preserve">The PPA, </w:t>
      </w:r>
      <w:r w:rsidRPr="00067E30">
        <w:rPr>
          <w:spacing w:val="-2"/>
          <w:szCs w:val="24"/>
        </w:rPr>
        <w:t xml:space="preserve">PMO-NOS now invites bids for </w:t>
      </w:r>
      <w:r w:rsidRPr="00067E30">
        <w:rPr>
          <w:b/>
          <w:spacing w:val="-2"/>
        </w:rPr>
        <w:t>Repair of Covered Walkway and Gate, Port of Siquijor, Siquijor (NRP-NOS-01-17)</w:t>
      </w:r>
      <w:r w:rsidRPr="00067E30">
        <w:rPr>
          <w:spacing w:val="-2"/>
          <w:szCs w:val="24"/>
        </w:rPr>
        <w:t>.</w:t>
      </w:r>
    </w:p>
    <w:p w:rsidR="0062232F" w:rsidRDefault="0062232F" w:rsidP="0062232F">
      <w:pPr>
        <w:spacing w:before="0" w:line="240" w:lineRule="auto"/>
        <w:ind w:left="720"/>
        <w:rPr>
          <w:spacing w:val="-2"/>
          <w:szCs w:val="24"/>
        </w:rPr>
      </w:pPr>
      <w:r w:rsidRPr="007C0F00">
        <w:rPr>
          <w:spacing w:val="-2"/>
          <w:szCs w:val="24"/>
        </w:rPr>
        <w:t xml:space="preserve">Completion of the Works is required </w:t>
      </w:r>
      <w:r>
        <w:rPr>
          <w:spacing w:val="-2"/>
          <w:szCs w:val="24"/>
        </w:rPr>
        <w:t xml:space="preserve">for </w:t>
      </w:r>
      <w:r>
        <w:rPr>
          <w:b/>
          <w:spacing w:val="-2"/>
          <w:szCs w:val="24"/>
        </w:rPr>
        <w:t>Two Hundred Forty</w:t>
      </w:r>
      <w:r w:rsidRPr="007C0F00">
        <w:rPr>
          <w:b/>
          <w:spacing w:val="-2"/>
          <w:szCs w:val="24"/>
        </w:rPr>
        <w:t xml:space="preserve"> (</w:t>
      </w:r>
      <w:r>
        <w:rPr>
          <w:b/>
          <w:spacing w:val="-2"/>
          <w:szCs w:val="24"/>
        </w:rPr>
        <w:t>240</w:t>
      </w:r>
      <w:r w:rsidRPr="007C0F00">
        <w:rPr>
          <w:b/>
          <w:spacing w:val="-2"/>
          <w:szCs w:val="24"/>
        </w:rPr>
        <w:t>) Calendar Days</w:t>
      </w:r>
      <w:r w:rsidRPr="007C0F00">
        <w:rPr>
          <w:spacing w:val="-2"/>
          <w:szCs w:val="24"/>
        </w:rPr>
        <w:t>. Bidders should have completed a contract similar to the Project. The description of an eligible bidder is contained in the Bidding Documents, particularly, in Section II. Instructions to Bidders.</w:t>
      </w:r>
    </w:p>
    <w:p w:rsidR="0062232F" w:rsidRPr="00286A7C" w:rsidRDefault="0062232F" w:rsidP="0062232F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62232F" w:rsidRPr="00286A7C" w:rsidDel="001E1B4F" w:rsidRDefault="0062232F" w:rsidP="0062232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62232F" w:rsidRPr="00E83E6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Interested bidders may obtain further information from</w:t>
      </w:r>
      <w:r w:rsidRPr="00B20C3D">
        <w:rPr>
          <w:b/>
          <w:spacing w:val="-2"/>
        </w:rPr>
        <w:t xml:space="preserve"> </w:t>
      </w:r>
      <w:r w:rsidRPr="00B20C3D">
        <w:rPr>
          <w:b/>
          <w:i/>
          <w:spacing w:val="-2"/>
        </w:rPr>
        <w:t>PPA, PMO-NO</w:t>
      </w:r>
      <w:r>
        <w:rPr>
          <w:b/>
          <w:i/>
          <w:spacing w:val="-2"/>
        </w:rPr>
        <w:t>/</w:t>
      </w:r>
      <w:r w:rsidRPr="00B20C3D">
        <w:rPr>
          <w:b/>
          <w:i/>
          <w:spacing w:val="-2"/>
        </w:rPr>
        <w:t xml:space="preserve">S </w:t>
      </w:r>
      <w:r w:rsidRPr="00286A7C">
        <w:rPr>
          <w:spacing w:val="-2"/>
        </w:rPr>
        <w:t>and inspect the Bidding Documents at the address given below from</w:t>
      </w:r>
      <w:r>
        <w:rPr>
          <w:spacing w:val="-2"/>
        </w:rPr>
        <w:t xml:space="preserve">                                    </w:t>
      </w:r>
      <w:r>
        <w:rPr>
          <w:i/>
          <w:spacing w:val="-2"/>
        </w:rPr>
        <w:t xml:space="preserve"> </w:t>
      </w:r>
      <w:r w:rsidRPr="00E83E6C">
        <w:rPr>
          <w:spacing w:val="-2"/>
        </w:rPr>
        <w:t>8:00 a.m. – 5: p.m.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>on May 31</w:t>
      </w:r>
      <w:r w:rsidRPr="00B20C3D">
        <w:rPr>
          <w:spacing w:val="-2"/>
        </w:rPr>
        <w:t>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B20C3D">
        <w:rPr>
          <w:spacing w:val="-2"/>
        </w:rPr>
        <w:t xml:space="preserve">and upon payment of the applicable fee for the Bidding Documents, pursuant to the latest Guidelines issued by the GPPB, in the amount of </w:t>
      </w:r>
      <w:r w:rsidRPr="00B20C3D">
        <w:rPr>
          <w:b/>
          <w:spacing w:val="-2"/>
        </w:rPr>
        <w:t xml:space="preserve">₱ </w:t>
      </w:r>
      <w:r>
        <w:rPr>
          <w:b/>
          <w:spacing w:val="-2"/>
        </w:rPr>
        <w:t>11</w:t>
      </w:r>
      <w:r w:rsidRPr="00B20C3D">
        <w:rPr>
          <w:b/>
          <w:spacing w:val="-2"/>
        </w:rPr>
        <w:t>,</w:t>
      </w:r>
      <w:r>
        <w:rPr>
          <w:b/>
          <w:spacing w:val="-2"/>
        </w:rPr>
        <w:t>6</w:t>
      </w:r>
      <w:r w:rsidRPr="00B20C3D">
        <w:rPr>
          <w:b/>
          <w:spacing w:val="-2"/>
        </w:rPr>
        <w:t>00.00</w:t>
      </w:r>
      <w:r w:rsidRPr="00B20C3D">
        <w:rPr>
          <w:spacing w:val="-2"/>
        </w:rPr>
        <w:t xml:space="preserve">. </w:t>
      </w:r>
    </w:p>
    <w:p w:rsidR="0062232F" w:rsidRPr="00286A7C" w:rsidRDefault="0062232F" w:rsidP="0062232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lastRenderedPageBreak/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(PhilGEPS)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B20C3D">
        <w:rPr>
          <w:b/>
          <w:spacing w:val="-2"/>
        </w:rPr>
        <w:t>PPA, PMO-NO</w:t>
      </w:r>
      <w:r>
        <w:rPr>
          <w:b/>
          <w:spacing w:val="-2"/>
        </w:rPr>
        <w:t>/</w:t>
      </w:r>
      <w:r w:rsidRPr="00B20C3D">
        <w:rPr>
          <w:b/>
          <w:spacing w:val="-2"/>
        </w:rPr>
        <w:t>S</w:t>
      </w:r>
      <w:r>
        <w:rPr>
          <w:spacing w:val="-2"/>
        </w:rPr>
        <w:t xml:space="preserve"> </w:t>
      </w:r>
      <w:r w:rsidRPr="00286A7C">
        <w:rPr>
          <w:spacing w:val="-2"/>
        </w:rPr>
        <w:t xml:space="preserve">will hold a Pre-Bid Conference on </w:t>
      </w:r>
      <w:r w:rsidRPr="00B20C3D">
        <w:rPr>
          <w:b/>
          <w:spacing w:val="-2"/>
        </w:rPr>
        <w:t xml:space="preserve">June 7, 2017 at </w:t>
      </w:r>
      <w:r>
        <w:rPr>
          <w:b/>
          <w:spacing w:val="-2"/>
        </w:rPr>
        <w:t xml:space="preserve">                       2</w:t>
      </w:r>
      <w:r w:rsidRPr="00B20C3D">
        <w:rPr>
          <w:b/>
          <w:spacing w:val="-2"/>
        </w:rPr>
        <w:t xml:space="preserve">:00 </w:t>
      </w:r>
      <w:r>
        <w:rPr>
          <w:b/>
          <w:spacing w:val="-2"/>
        </w:rPr>
        <w:t>P</w:t>
      </w:r>
      <w:r w:rsidRPr="00B20C3D">
        <w:rPr>
          <w:b/>
          <w:spacing w:val="-2"/>
        </w:rPr>
        <w:t>.M.</w:t>
      </w:r>
      <w:r w:rsidRPr="00B20C3D">
        <w:rPr>
          <w:spacing w:val="-2"/>
        </w:rPr>
        <w:t xml:space="preserve"> at </w:t>
      </w:r>
      <w:r w:rsidRPr="00EE43A4">
        <w:rPr>
          <w:i/>
          <w:spacing w:val="-2"/>
        </w:rPr>
        <w:t xml:space="preserve">Philippine Ports Authority, PMO-NOS Conference Room, Port Area, </w:t>
      </w:r>
      <w:proofErr w:type="spellStart"/>
      <w:r w:rsidRPr="00EE43A4">
        <w:rPr>
          <w:i/>
          <w:spacing w:val="-2"/>
        </w:rPr>
        <w:t>Brgy</w:t>
      </w:r>
      <w:proofErr w:type="spellEnd"/>
      <w:r w:rsidRPr="00EE43A4">
        <w:rPr>
          <w:i/>
          <w:spacing w:val="-2"/>
        </w:rPr>
        <w:t>. Looc, Dumaguete City,</w:t>
      </w:r>
      <w:r w:rsidRPr="00B20C3D">
        <w:rPr>
          <w:spacing w:val="-2"/>
        </w:rPr>
        <w:t xml:space="preserve"> which shall be open to prospective bidders.</w:t>
      </w: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E43A4">
        <w:rPr>
          <w:b/>
          <w:i/>
          <w:spacing w:val="-2"/>
        </w:rPr>
        <w:t xml:space="preserve">June 19, 2017 at </w:t>
      </w:r>
      <w:r w:rsidR="00E27EEC">
        <w:rPr>
          <w:b/>
          <w:i/>
          <w:spacing w:val="-2"/>
        </w:rPr>
        <w:t>1</w:t>
      </w:r>
      <w:r w:rsidRPr="00EE43A4">
        <w:rPr>
          <w:b/>
          <w:i/>
          <w:spacing w:val="-2"/>
        </w:rPr>
        <w:t>:</w:t>
      </w:r>
      <w:r w:rsidR="00E27EEC">
        <w:rPr>
          <w:b/>
          <w:i/>
          <w:spacing w:val="-2"/>
        </w:rPr>
        <w:t>0</w:t>
      </w:r>
      <w:r w:rsidRPr="00EE43A4">
        <w:rPr>
          <w:b/>
          <w:i/>
          <w:spacing w:val="-2"/>
        </w:rPr>
        <w:t xml:space="preserve">0 </w:t>
      </w:r>
      <w:r w:rsidR="00E27EEC">
        <w:rPr>
          <w:b/>
          <w:i/>
          <w:spacing w:val="-2"/>
        </w:rPr>
        <w:t>p</w:t>
      </w:r>
      <w:r w:rsidRPr="00EE43A4">
        <w:rPr>
          <w:b/>
          <w:i/>
          <w:spacing w:val="-2"/>
        </w:rPr>
        <w:t>.m.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r w:rsidRPr="00286A7C">
        <w:rPr>
          <w:spacing w:val="-2"/>
        </w:rPr>
        <w:fldChar w:fldCharType="begin"/>
      </w:r>
      <w:r w:rsidRPr="00286A7C">
        <w:rPr>
          <w:spacing w:val="-2"/>
        </w:rPr>
        <w:instrText xml:space="preserve"> REF _Ref100483235 \r \h </w:instrText>
      </w:r>
      <w:r>
        <w:rPr>
          <w:spacing w:val="-2"/>
        </w:rPr>
        <w:instrText xml:space="preserve"> \* MERGEFORMAT </w:instrText>
      </w:r>
      <w:r w:rsidRPr="00286A7C">
        <w:rPr>
          <w:spacing w:val="-2"/>
        </w:rPr>
        <w:fldChar w:fldCharType="separate"/>
      </w:r>
      <w:r w:rsidR="00E27EEC">
        <w:rPr>
          <w:b/>
          <w:bCs/>
          <w:spacing w:val="-2"/>
        </w:rPr>
        <w:t>Error! Reference source not found.</w:t>
      </w:r>
      <w:r w:rsidRPr="00286A7C">
        <w:rPr>
          <w:spacing w:val="-2"/>
        </w:rPr>
        <w:fldChar w:fldCharType="end"/>
      </w:r>
      <w:r w:rsidRPr="00286A7C">
        <w:rPr>
          <w:spacing w:val="-2"/>
        </w:rPr>
        <w:t>.</w:t>
      </w:r>
    </w:p>
    <w:p w:rsidR="0062232F" w:rsidRDefault="0062232F" w:rsidP="0062232F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EE43A4">
        <w:rPr>
          <w:b/>
          <w:i/>
          <w:spacing w:val="-2"/>
        </w:rPr>
        <w:t xml:space="preserve">June 19, </w:t>
      </w:r>
      <w:r w:rsidRPr="00EE43A4">
        <w:rPr>
          <w:b/>
          <w:i/>
          <w:spacing w:val="-2"/>
          <w:szCs w:val="24"/>
        </w:rPr>
        <w:t>2017, 1:</w:t>
      </w:r>
      <w:r>
        <w:rPr>
          <w:b/>
          <w:i/>
          <w:spacing w:val="-2"/>
          <w:szCs w:val="24"/>
        </w:rPr>
        <w:t>3</w:t>
      </w:r>
      <w:r w:rsidRPr="00EE43A4">
        <w:rPr>
          <w:b/>
          <w:i/>
          <w:spacing w:val="-2"/>
          <w:szCs w:val="24"/>
        </w:rPr>
        <w:t xml:space="preserve">0 </w:t>
      </w:r>
      <w:r>
        <w:rPr>
          <w:b/>
          <w:i/>
          <w:spacing w:val="-2"/>
          <w:szCs w:val="24"/>
        </w:rPr>
        <w:t>p</w:t>
      </w:r>
      <w:r w:rsidRPr="00EE43A4">
        <w:rPr>
          <w:b/>
          <w:i/>
          <w:spacing w:val="-2"/>
          <w:szCs w:val="24"/>
        </w:rPr>
        <w:t>.m.</w:t>
      </w:r>
      <w:r w:rsidRPr="00EE43A4">
        <w:rPr>
          <w:spacing w:val="-2"/>
          <w:szCs w:val="24"/>
        </w:rPr>
        <w:t xml:space="preserve"> at</w:t>
      </w:r>
      <w:r w:rsidRPr="00EE43A4">
        <w:rPr>
          <w:i/>
          <w:spacing w:val="-2"/>
          <w:szCs w:val="24"/>
        </w:rPr>
        <w:t xml:space="preserve"> </w:t>
      </w:r>
      <w:r w:rsidRPr="00EE43A4">
        <w:rPr>
          <w:i/>
          <w:szCs w:val="24"/>
        </w:rPr>
        <w:t xml:space="preserve">Philippine Ports Authority, PMO-NOS Conference Room, Port Area, </w:t>
      </w:r>
      <w:proofErr w:type="spellStart"/>
      <w:r w:rsidRPr="00EE43A4">
        <w:rPr>
          <w:i/>
          <w:szCs w:val="24"/>
        </w:rPr>
        <w:t>Brgy</w:t>
      </w:r>
      <w:proofErr w:type="spellEnd"/>
      <w:r w:rsidRPr="00EE43A4">
        <w:rPr>
          <w:i/>
          <w:szCs w:val="24"/>
        </w:rPr>
        <w:t>. Looc, Dumaguete City</w:t>
      </w:r>
      <w:r w:rsidRPr="00EE43A4">
        <w:rPr>
          <w:i/>
          <w:spacing w:val="-2"/>
          <w:szCs w:val="24"/>
        </w:rPr>
        <w:t xml:space="preserve">.  </w:t>
      </w:r>
      <w:r w:rsidRPr="00EE43A4">
        <w:rPr>
          <w:spacing w:val="-2"/>
          <w:szCs w:val="24"/>
        </w:rPr>
        <w:t>Bids will be opened in the presence of the bidders’ representatives who choose to attend</w:t>
      </w:r>
      <w:r w:rsidRPr="00EE43A4">
        <w:rPr>
          <w:spacing w:val="-2"/>
          <w:sz w:val="28"/>
        </w:rPr>
        <w:t xml:space="preserve"> </w:t>
      </w:r>
      <w:r w:rsidRPr="00286A7C">
        <w:rPr>
          <w:spacing w:val="-2"/>
        </w:rPr>
        <w:t>at the address below. Late bids shall not be accepted.</w:t>
      </w:r>
    </w:p>
    <w:p w:rsidR="0062232F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37103C">
        <w:rPr>
          <w:spacing w:val="-2"/>
        </w:rPr>
        <w:t>Minimum Equipment Requirements: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720"/>
        <w:gridCol w:w="4050"/>
        <w:gridCol w:w="1800"/>
      </w:tblGrid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Pr="001B0EF9">
              <w:rPr>
                <w:spacing w:val="-2"/>
              </w:rPr>
              <w:t>nit</w:t>
            </w:r>
          </w:p>
        </w:tc>
        <w:tc>
          <w:tcPr>
            <w:tcW w:w="405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One-Bagger Concrete Mixer</w:t>
            </w:r>
          </w:p>
        </w:tc>
        <w:tc>
          <w:tcPr>
            <w:tcW w:w="180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Pr="001B0EF9">
              <w:rPr>
                <w:spacing w:val="-2"/>
              </w:rPr>
              <w:t>nit</w:t>
            </w:r>
          </w:p>
        </w:tc>
        <w:tc>
          <w:tcPr>
            <w:tcW w:w="405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Concrete Vibrator</w:t>
            </w:r>
          </w:p>
        </w:tc>
        <w:tc>
          <w:tcPr>
            <w:tcW w:w="180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 xml:space="preserve">-owned 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 w:rsidRPr="001B0EF9"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</w:t>
            </w:r>
            <w:r w:rsidRPr="001B0EF9">
              <w:rPr>
                <w:spacing w:val="-2"/>
              </w:rPr>
              <w:t>nit</w:t>
            </w:r>
          </w:p>
        </w:tc>
        <w:tc>
          <w:tcPr>
            <w:tcW w:w="405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Dump</w:t>
            </w:r>
            <w:r w:rsidRPr="001B0EF9">
              <w:rPr>
                <w:spacing w:val="-2"/>
              </w:rPr>
              <w:t xml:space="preserve"> Truck, </w:t>
            </w:r>
            <w:r>
              <w:rPr>
                <w:spacing w:val="-2"/>
              </w:rPr>
              <w:t xml:space="preserve">8 </w:t>
            </w:r>
            <w:proofErr w:type="spellStart"/>
            <w:r>
              <w:rPr>
                <w:spacing w:val="-2"/>
              </w:rPr>
              <w:t>cu.m</w:t>
            </w:r>
            <w:proofErr w:type="spellEnd"/>
            <w:r>
              <w:rPr>
                <w:spacing w:val="-2"/>
              </w:rPr>
              <w:t>.</w:t>
            </w:r>
            <w:r w:rsidRPr="001B0EF9">
              <w:rPr>
                <w:spacing w:val="-2"/>
              </w:rPr>
              <w:t xml:space="preserve"> minimum capacity</w:t>
            </w:r>
          </w:p>
        </w:tc>
        <w:tc>
          <w:tcPr>
            <w:tcW w:w="180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-owned / leased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Jack Hammer w/ Compressor</w:t>
            </w:r>
          </w:p>
        </w:tc>
        <w:tc>
          <w:tcPr>
            <w:tcW w:w="180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</w:t>
            </w:r>
            <w:r>
              <w:rPr>
                <w:spacing w:val="-2"/>
              </w:rPr>
              <w:t>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units</w:t>
            </w:r>
          </w:p>
        </w:tc>
        <w:tc>
          <w:tcPr>
            <w:tcW w:w="405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Welding Machine (300 amp.)</w:t>
            </w:r>
          </w:p>
        </w:tc>
        <w:tc>
          <w:tcPr>
            <w:tcW w:w="180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-owned</w:t>
            </w:r>
          </w:p>
        </w:tc>
      </w:tr>
      <w:tr w:rsidR="0062232F" w:rsidRPr="001B0EF9" w:rsidTr="00047FE6">
        <w:tc>
          <w:tcPr>
            <w:tcW w:w="63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unit</w:t>
            </w:r>
          </w:p>
        </w:tc>
        <w:tc>
          <w:tcPr>
            <w:tcW w:w="405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Backhoe (0.45 </w:t>
            </w:r>
            <w:proofErr w:type="spellStart"/>
            <w:r>
              <w:rPr>
                <w:spacing w:val="-2"/>
              </w:rPr>
              <w:t>cu.m</w:t>
            </w:r>
            <w:proofErr w:type="spellEnd"/>
            <w:r>
              <w:rPr>
                <w:spacing w:val="-2"/>
              </w:rPr>
              <w:t>. min. cap.)</w:t>
            </w:r>
          </w:p>
        </w:tc>
        <w:tc>
          <w:tcPr>
            <w:tcW w:w="1800" w:type="dxa"/>
            <w:shd w:val="clear" w:color="auto" w:fill="auto"/>
          </w:tcPr>
          <w:p w:rsidR="0062232F" w:rsidRPr="001B0EF9" w:rsidRDefault="0062232F" w:rsidP="00047FE6">
            <w:pPr>
              <w:spacing w:before="0" w:after="120" w:line="240" w:lineRule="auto"/>
              <w:jc w:val="left"/>
              <w:rPr>
                <w:spacing w:val="-2"/>
              </w:rPr>
            </w:pPr>
            <w:r w:rsidRPr="001B0EF9">
              <w:rPr>
                <w:spacing w:val="-2"/>
              </w:rPr>
              <w:t>-owned / leased</w:t>
            </w:r>
          </w:p>
        </w:tc>
      </w:tr>
    </w:tbl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  <w:t>Required PCAB Registration</w:t>
      </w:r>
      <w:r>
        <w:rPr>
          <w:spacing w:val="-2"/>
        </w:rPr>
        <w:tab/>
        <w:t>:</w:t>
      </w:r>
      <w:r>
        <w:rPr>
          <w:spacing w:val="-2"/>
        </w:rPr>
        <w:tab/>
        <w:t>Small B – Ports, Harbor and Offshore</w:t>
      </w:r>
    </w:p>
    <w:p w:rsidR="0062232F" w:rsidRDefault="0062232F" w:rsidP="0062232F">
      <w:pPr>
        <w:spacing w:before="0" w:after="0" w:line="240" w:lineRule="auto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Engineering</w:t>
      </w:r>
    </w:p>
    <w:p w:rsidR="0062232F" w:rsidRDefault="0062232F" w:rsidP="0062232F">
      <w:pPr>
        <w:spacing w:before="0" w:after="0" w:line="240" w:lineRule="auto"/>
        <w:rPr>
          <w:spacing w:val="-2"/>
        </w:rPr>
      </w:pPr>
    </w:p>
    <w:p w:rsidR="0062232F" w:rsidRDefault="0062232F" w:rsidP="0062232F">
      <w:pPr>
        <w:spacing w:before="0" w:after="0" w:line="240" w:lineRule="auto"/>
        <w:rPr>
          <w:spacing w:val="-2"/>
        </w:rPr>
      </w:pPr>
    </w:p>
    <w:p w:rsidR="0062232F" w:rsidRPr="00067E30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>
        <w:t xml:space="preserve">PPA, PMO-NO/S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62232F" w:rsidRDefault="0062232F" w:rsidP="0062232F">
      <w:pPr>
        <w:spacing w:before="0" w:line="240" w:lineRule="auto"/>
      </w:pPr>
    </w:p>
    <w:p w:rsidR="0062232F" w:rsidRDefault="0062232F" w:rsidP="0062232F">
      <w:pPr>
        <w:spacing w:before="0" w:line="240" w:lineRule="auto"/>
      </w:pPr>
    </w:p>
    <w:p w:rsidR="0062232F" w:rsidRDefault="0062232F" w:rsidP="0062232F">
      <w:pPr>
        <w:spacing w:before="0" w:line="240" w:lineRule="auto"/>
      </w:pPr>
    </w:p>
    <w:p w:rsidR="0062232F" w:rsidRDefault="0062232F" w:rsidP="0062232F">
      <w:pPr>
        <w:spacing w:before="0" w:line="240" w:lineRule="auto"/>
      </w:pPr>
    </w:p>
    <w:p w:rsidR="0062232F" w:rsidRPr="00286A7C" w:rsidRDefault="0062232F" w:rsidP="0062232F">
      <w:pPr>
        <w:spacing w:before="0" w:line="240" w:lineRule="auto"/>
        <w:rPr>
          <w:spacing w:val="-2"/>
        </w:rPr>
      </w:pPr>
    </w:p>
    <w:p w:rsidR="0062232F" w:rsidRPr="00286A7C" w:rsidRDefault="0062232F" w:rsidP="0062232F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ENGR. JOEL S. LARENA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>
        <w:rPr>
          <w:spacing w:val="-2"/>
        </w:rPr>
        <w:t xml:space="preserve">Head, </w:t>
      </w:r>
      <w:r w:rsidRPr="00A523E8">
        <w:rPr>
          <w:spacing w:val="-2"/>
        </w:rPr>
        <w:t>BAC-EP Secretariat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Philippine Ports Authority, 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Port Management Office – </w:t>
      </w:r>
      <w:r>
        <w:rPr>
          <w:spacing w:val="-2"/>
        </w:rPr>
        <w:t>Negros Oriental / Siquijor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Port Area, </w:t>
      </w:r>
      <w:proofErr w:type="spellStart"/>
      <w:r w:rsidRPr="00A523E8">
        <w:rPr>
          <w:spacing w:val="-2"/>
        </w:rPr>
        <w:t>Brgy</w:t>
      </w:r>
      <w:proofErr w:type="spellEnd"/>
      <w:r w:rsidRPr="00A523E8">
        <w:rPr>
          <w:spacing w:val="-2"/>
        </w:rPr>
        <w:t>. Looc,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 xml:space="preserve">Dumaguete City  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spacing w:val="-2"/>
        </w:rPr>
      </w:pPr>
      <w:r w:rsidRPr="00A523E8">
        <w:rPr>
          <w:spacing w:val="-2"/>
        </w:rPr>
        <w:t>Tel. No. (035) 225-0973 to 7; (035) 422-8914</w:t>
      </w:r>
    </w:p>
    <w:p w:rsidR="0062232F" w:rsidRPr="00A523E8" w:rsidRDefault="0062232F" w:rsidP="0062232F">
      <w:pPr>
        <w:spacing w:before="0" w:after="0" w:line="240" w:lineRule="auto"/>
        <w:ind w:firstLine="720"/>
        <w:rPr>
          <w:b/>
          <w:spacing w:val="-2"/>
        </w:rPr>
      </w:pPr>
      <w:proofErr w:type="gramStart"/>
      <w:r w:rsidRPr="00A523E8">
        <w:rPr>
          <w:spacing w:val="-2"/>
        </w:rPr>
        <w:t>Email :</w:t>
      </w:r>
      <w:proofErr w:type="gramEnd"/>
      <w:r w:rsidRPr="00A523E8">
        <w:rPr>
          <w:spacing w:val="-2"/>
        </w:rPr>
        <w:t xml:space="preserve">  </w:t>
      </w:r>
      <w:hyperlink r:id="rId6" w:history="1">
        <w:r w:rsidRPr="00A523E8">
          <w:rPr>
            <w:rStyle w:val="Hyperlink"/>
            <w:b w:val="0"/>
            <w:spacing w:val="-2"/>
            <w:szCs w:val="20"/>
            <w:u w:val="none"/>
          </w:rPr>
          <w:t>esd.dum@gmail.com</w:t>
        </w:r>
      </w:hyperlink>
    </w:p>
    <w:p w:rsidR="0062232F" w:rsidRPr="0037103C" w:rsidRDefault="0062232F" w:rsidP="0062232F">
      <w:pPr>
        <w:spacing w:before="0" w:after="0" w:line="240" w:lineRule="auto"/>
        <w:rPr>
          <w:b/>
          <w:i/>
          <w:spacing w:val="-2"/>
        </w:rPr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  <w:rPr>
          <w:b/>
        </w:rPr>
      </w:pPr>
    </w:p>
    <w:p w:rsidR="0062232F" w:rsidRPr="00A523E8" w:rsidRDefault="0062232F" w:rsidP="0062232F">
      <w:pPr>
        <w:spacing w:before="0" w:after="0" w:line="240" w:lineRule="auto"/>
        <w:ind w:left="3600" w:firstLine="720"/>
        <w:rPr>
          <w:b/>
        </w:rPr>
      </w:pPr>
      <w:r w:rsidRPr="00A523E8">
        <w:rPr>
          <w:b/>
        </w:rPr>
        <w:t>HUBERT P. MITMIT</w:t>
      </w:r>
    </w:p>
    <w:p w:rsidR="0062232F" w:rsidRDefault="0062232F" w:rsidP="0062232F">
      <w:pPr>
        <w:spacing w:before="0" w:after="0" w:line="240" w:lineRule="auto"/>
        <w:ind w:left="3600" w:firstLine="720"/>
      </w:pPr>
      <w:r>
        <w:t>Chairperson</w:t>
      </w:r>
    </w:p>
    <w:p w:rsidR="0062232F" w:rsidRDefault="0062232F" w:rsidP="0062232F">
      <w:pPr>
        <w:spacing w:before="0" w:after="0" w:line="240" w:lineRule="auto"/>
        <w:ind w:left="4320"/>
      </w:pPr>
      <w:r>
        <w:t>BAC – Engineering Projects</w:t>
      </w: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  <w:r>
        <w:t>Noted:</w:t>
      </w: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Default="00E27EEC" w:rsidP="00E27EEC">
      <w:pPr>
        <w:spacing w:before="0" w:after="0" w:line="240" w:lineRule="auto"/>
      </w:pPr>
    </w:p>
    <w:p w:rsidR="00E27EEC" w:rsidRPr="00E27EEC" w:rsidRDefault="00E27EEC" w:rsidP="00E27EEC">
      <w:pPr>
        <w:spacing w:before="0" w:after="0" w:line="240" w:lineRule="auto"/>
        <w:rPr>
          <w:b/>
        </w:rPr>
      </w:pPr>
      <w:r w:rsidRPr="00E27EEC">
        <w:rPr>
          <w:b/>
        </w:rPr>
        <w:t>SARAH R. MIJARES</w:t>
      </w:r>
    </w:p>
    <w:p w:rsidR="00E27EEC" w:rsidRDefault="00E27EEC" w:rsidP="00E27EEC">
      <w:pPr>
        <w:spacing w:before="0" w:after="0" w:line="240" w:lineRule="auto"/>
      </w:pPr>
      <w:r>
        <w:t>Port Manager</w:t>
      </w: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62232F" w:rsidRDefault="0062232F" w:rsidP="0062232F">
      <w:pPr>
        <w:spacing w:before="0" w:after="0" w:line="240" w:lineRule="auto"/>
      </w:pPr>
    </w:p>
    <w:p w:rsidR="00A71AFE" w:rsidRDefault="00A71AFE" w:rsidP="0062232F">
      <w:pPr>
        <w:spacing w:before="0" w:after="0" w:line="240" w:lineRule="auto"/>
        <w:jc w:val="center"/>
      </w:pPr>
      <w:bookmarkStart w:id="0" w:name="_GoBack"/>
      <w:bookmarkEnd w:id="0"/>
    </w:p>
    <w:sectPr w:rsidR="00A71AFE" w:rsidSect="00BD5474">
      <w:pgSz w:w="12240" w:h="15840"/>
      <w:pgMar w:top="144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02242"/>
    <w:multiLevelType w:val="multilevel"/>
    <w:tmpl w:val="61824F56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4"/>
    <w:rsid w:val="0062232F"/>
    <w:rsid w:val="009C3B11"/>
    <w:rsid w:val="00A71AFE"/>
    <w:rsid w:val="00BD5474"/>
    <w:rsid w:val="00E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5E3E"/>
  <w15:chartTrackingRefBased/>
  <w15:docId w15:val="{1FB41223-BD06-4B2A-A8B7-0C36FE9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5474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BD5474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D5474"/>
    <w:pPr>
      <w:keepNext/>
      <w:spacing w:before="0" w:after="0" w:line="240" w:lineRule="auto"/>
      <w:jc w:val="center"/>
      <w:outlineLvl w:val="3"/>
    </w:pPr>
    <w:rPr>
      <w:rFonts w:ascii="Tahoma" w:hAnsi="Tahoma" w:cs="Tahoma"/>
      <w:bCs/>
      <w:i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BD5474"/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D5474"/>
    <w:rPr>
      <w:rFonts w:ascii="Tahoma" w:eastAsia="Times New Roman" w:hAnsi="Tahoma" w:cs="Tahoma"/>
      <w:bCs/>
      <w:i/>
      <w:sz w:val="18"/>
      <w:szCs w:val="16"/>
    </w:rPr>
  </w:style>
  <w:style w:type="paragraph" w:customStyle="1" w:styleId="Style1">
    <w:name w:val="Style1"/>
    <w:basedOn w:val="Heading3"/>
    <w:qFormat/>
    <w:rsid w:val="00BD5474"/>
    <w:pPr>
      <w:numPr>
        <w:ilvl w:val="2"/>
      </w:numPr>
    </w:pPr>
    <w:rPr>
      <w:rFonts w:ascii="Times New Roman" w:hAnsi="Times New Roman"/>
      <w:b w:val="0"/>
      <w:sz w:val="24"/>
    </w:rPr>
  </w:style>
  <w:style w:type="character" w:styleId="Hyperlink">
    <w:name w:val="Hyperlink"/>
    <w:uiPriority w:val="99"/>
    <w:rsid w:val="00BD5474"/>
    <w:rPr>
      <w:rFonts w:ascii="Times New Roman" w:hAnsi="Times New Roman"/>
      <w:b/>
      <w:color w:val="auto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d.dum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ESDHPM</cp:lastModifiedBy>
  <cp:revision>4</cp:revision>
  <cp:lastPrinted>2017-06-01T07:53:00Z</cp:lastPrinted>
  <dcterms:created xsi:type="dcterms:W3CDTF">2017-05-30T14:00:00Z</dcterms:created>
  <dcterms:modified xsi:type="dcterms:W3CDTF">2017-06-01T07:53:00Z</dcterms:modified>
</cp:coreProperties>
</file>