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F5" w:rsidRDefault="00485089" w:rsidP="002F45F5">
      <w:r>
        <w:rPr>
          <w:noProof/>
          <w:lang w:val="en-PH" w:eastAsia="en-P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-171450</wp:posOffset>
            </wp:positionV>
            <wp:extent cx="3084195" cy="45720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5F5" w:rsidRPr="002F45F5" w:rsidRDefault="002F45F5" w:rsidP="002F45F5">
      <w:pPr>
        <w:jc w:val="center"/>
        <w:rPr>
          <w:rFonts w:cs="Arial"/>
          <w:b/>
          <w:sz w:val="18"/>
          <w:szCs w:val="18"/>
        </w:rPr>
      </w:pPr>
    </w:p>
    <w:p w:rsidR="002F45F5" w:rsidRPr="002F45F5" w:rsidRDefault="002F45F5" w:rsidP="002F45F5">
      <w:pPr>
        <w:jc w:val="center"/>
        <w:rPr>
          <w:rFonts w:cs="Arial"/>
          <w:b/>
          <w:sz w:val="18"/>
          <w:szCs w:val="18"/>
        </w:rPr>
      </w:pPr>
      <w:r w:rsidRPr="002F45F5">
        <w:rPr>
          <w:rFonts w:cs="Arial"/>
          <w:b/>
          <w:sz w:val="18"/>
          <w:szCs w:val="18"/>
        </w:rPr>
        <w:t>PORT MANAGEMENT OFFICE – ZAMBOANGA DEL NORTE</w:t>
      </w:r>
    </w:p>
    <w:p w:rsidR="002F45F5" w:rsidRPr="002F45F5" w:rsidRDefault="002F45F5" w:rsidP="002F45F5">
      <w:pPr>
        <w:jc w:val="center"/>
        <w:rPr>
          <w:szCs w:val="18"/>
        </w:rPr>
      </w:pPr>
      <w:r w:rsidRPr="002F45F5">
        <w:rPr>
          <w:szCs w:val="18"/>
        </w:rPr>
        <w:t xml:space="preserve">Port </w:t>
      </w:r>
      <w:r>
        <w:rPr>
          <w:szCs w:val="18"/>
        </w:rPr>
        <w:t>of Dapitan</w:t>
      </w:r>
      <w:r w:rsidRPr="002F45F5">
        <w:rPr>
          <w:szCs w:val="18"/>
        </w:rPr>
        <w:t>, Dapitan City Tel. No. (065) 213-6594-95</w:t>
      </w:r>
    </w:p>
    <w:p w:rsidR="002F45F5" w:rsidRPr="002F45F5" w:rsidRDefault="002F45F5" w:rsidP="002F45F5">
      <w:pPr>
        <w:jc w:val="center"/>
        <w:rPr>
          <w:sz w:val="14"/>
          <w:szCs w:val="18"/>
        </w:rPr>
      </w:pPr>
      <w:r w:rsidRPr="002F45F5">
        <w:rPr>
          <w:sz w:val="14"/>
          <w:szCs w:val="18"/>
        </w:rPr>
        <w:t xml:space="preserve">Email Address: </w:t>
      </w:r>
      <w:hyperlink r:id="rId6" w:history="1">
        <w:r w:rsidRPr="002F45F5">
          <w:rPr>
            <w:rStyle w:val="Hyperlink"/>
            <w:sz w:val="14"/>
            <w:szCs w:val="18"/>
          </w:rPr>
          <w:t>ppa.pmo.dapitan@gmail.com</w:t>
        </w:r>
      </w:hyperlink>
    </w:p>
    <w:p w:rsidR="00730623" w:rsidRDefault="00730623" w:rsidP="002F45F5">
      <w:pPr>
        <w:rPr>
          <w:b/>
          <w:sz w:val="28"/>
          <w:szCs w:val="28"/>
        </w:rPr>
      </w:pPr>
    </w:p>
    <w:p w:rsidR="00E86E5F" w:rsidRPr="00E13D66" w:rsidRDefault="00E86E5F" w:rsidP="003C4650">
      <w:pPr>
        <w:jc w:val="center"/>
        <w:rPr>
          <w:sz w:val="12"/>
          <w:szCs w:val="12"/>
        </w:rPr>
      </w:pPr>
      <w:r w:rsidRPr="00E86E5F">
        <w:rPr>
          <w:b/>
          <w:sz w:val="28"/>
          <w:szCs w:val="28"/>
        </w:rPr>
        <w:t>INVITATION TO APPLY FOR ELIGIBILITY AND TO BID</w:t>
      </w:r>
    </w:p>
    <w:p w:rsidR="00E86E5F" w:rsidRDefault="00E86E5F" w:rsidP="00E86E5F">
      <w:pPr>
        <w:rPr>
          <w:b/>
          <w:sz w:val="24"/>
          <w:szCs w:val="24"/>
        </w:rPr>
      </w:pPr>
    </w:p>
    <w:p w:rsidR="00E86E5F" w:rsidRDefault="00750A05" w:rsidP="00E86E5F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b/>
          <w:i/>
          <w:sz w:val="22"/>
          <w:szCs w:val="22"/>
        </w:rPr>
        <w:t xml:space="preserve">Philippine Ports Authority, Port Management Office of </w:t>
      </w:r>
      <w:proofErr w:type="spellStart"/>
      <w:r w:rsidR="00294B5F">
        <w:rPr>
          <w:b/>
          <w:i/>
          <w:sz w:val="22"/>
          <w:szCs w:val="22"/>
        </w:rPr>
        <w:t>Zamboanga</w:t>
      </w:r>
      <w:proofErr w:type="spellEnd"/>
      <w:r w:rsidR="00294B5F">
        <w:rPr>
          <w:b/>
          <w:i/>
          <w:sz w:val="22"/>
          <w:szCs w:val="22"/>
        </w:rPr>
        <w:t xml:space="preserve"> del Norte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through its Bids and Awards Committee (BAC), invites suppliers to apply for eligibility and to bid for the hereunder project:</w:t>
      </w:r>
    </w:p>
    <w:p w:rsidR="00750A05" w:rsidRDefault="00750A05" w:rsidP="00E86E5F">
      <w:pPr>
        <w:rPr>
          <w:sz w:val="22"/>
          <w:szCs w:val="22"/>
        </w:rPr>
      </w:pPr>
    </w:p>
    <w:p w:rsidR="00750A05" w:rsidRDefault="00750A05" w:rsidP="00E86E5F">
      <w:pPr>
        <w:rPr>
          <w:sz w:val="22"/>
          <w:szCs w:val="22"/>
        </w:rPr>
      </w:pPr>
      <w:r>
        <w:rPr>
          <w:sz w:val="22"/>
          <w:szCs w:val="22"/>
        </w:rPr>
        <w:t>Name of Project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5558B1">
        <w:rPr>
          <w:b/>
          <w:sz w:val="22"/>
          <w:szCs w:val="22"/>
        </w:rPr>
        <w:t>PROVISION OF TEMPORARY SUPPORT PERSONNEL</w:t>
      </w:r>
    </w:p>
    <w:p w:rsidR="00750A05" w:rsidRDefault="00750A05" w:rsidP="00E86E5F">
      <w:pPr>
        <w:rPr>
          <w:sz w:val="22"/>
          <w:szCs w:val="22"/>
        </w:rPr>
      </w:pPr>
      <w:r>
        <w:rPr>
          <w:sz w:val="22"/>
          <w:szCs w:val="22"/>
        </w:rPr>
        <w:t>Location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Philippine Ports Authority, Port Management Office of </w:t>
      </w:r>
      <w:proofErr w:type="spellStart"/>
      <w:r w:rsidR="00294B5F">
        <w:rPr>
          <w:sz w:val="22"/>
          <w:szCs w:val="22"/>
        </w:rPr>
        <w:t>Zamboanga</w:t>
      </w:r>
      <w:proofErr w:type="spellEnd"/>
      <w:r w:rsidR="00294B5F">
        <w:rPr>
          <w:sz w:val="22"/>
          <w:szCs w:val="22"/>
        </w:rPr>
        <w:t xml:space="preserve"> </w:t>
      </w:r>
    </w:p>
    <w:p w:rsidR="00750A05" w:rsidRDefault="00294B5F" w:rsidP="00E86E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del Norte, </w:t>
      </w:r>
      <w:r w:rsidR="00750A05">
        <w:rPr>
          <w:sz w:val="22"/>
          <w:szCs w:val="22"/>
        </w:rPr>
        <w:t xml:space="preserve">Port of Dapitan, </w:t>
      </w:r>
      <w:r w:rsidR="00B25A3E">
        <w:rPr>
          <w:sz w:val="22"/>
          <w:szCs w:val="22"/>
        </w:rPr>
        <w:t xml:space="preserve">San Vicente, </w:t>
      </w:r>
      <w:r w:rsidR="00750A05">
        <w:rPr>
          <w:sz w:val="22"/>
          <w:szCs w:val="22"/>
        </w:rPr>
        <w:t>Dapitan City</w:t>
      </w:r>
    </w:p>
    <w:p w:rsidR="00750A05" w:rsidRDefault="00750A05" w:rsidP="00E86E5F">
      <w:pPr>
        <w:rPr>
          <w:sz w:val="22"/>
          <w:szCs w:val="22"/>
        </w:rPr>
      </w:pPr>
      <w:r>
        <w:rPr>
          <w:sz w:val="22"/>
          <w:szCs w:val="22"/>
        </w:rPr>
        <w:t>Approved Budget</w:t>
      </w:r>
      <w:r>
        <w:rPr>
          <w:sz w:val="22"/>
          <w:szCs w:val="22"/>
        </w:rPr>
        <w:tab/>
      </w:r>
    </w:p>
    <w:p w:rsidR="00750A05" w:rsidRPr="005558B1" w:rsidRDefault="00750A05" w:rsidP="00E86E5F">
      <w:pPr>
        <w:rPr>
          <w:b/>
          <w:sz w:val="22"/>
          <w:szCs w:val="22"/>
        </w:rPr>
      </w:pPr>
      <w:r>
        <w:rPr>
          <w:sz w:val="22"/>
          <w:szCs w:val="22"/>
        </w:rPr>
        <w:t>For the Contract</w:t>
      </w:r>
      <w:r>
        <w:rPr>
          <w:sz w:val="22"/>
          <w:szCs w:val="22"/>
        </w:rPr>
        <w:tab/>
        <w:t>:</w:t>
      </w:r>
      <w:r w:rsidR="00E13D66">
        <w:rPr>
          <w:sz w:val="22"/>
          <w:szCs w:val="22"/>
        </w:rPr>
        <w:tab/>
      </w:r>
      <w:r w:rsidR="005A0714">
        <w:rPr>
          <w:b/>
          <w:sz w:val="22"/>
          <w:szCs w:val="22"/>
        </w:rPr>
        <w:t>Php</w:t>
      </w:r>
      <w:r w:rsidR="00773786">
        <w:rPr>
          <w:b/>
          <w:sz w:val="22"/>
          <w:szCs w:val="22"/>
        </w:rPr>
        <w:t>2,144,949.68</w:t>
      </w:r>
    </w:p>
    <w:p w:rsidR="00EC1585" w:rsidRDefault="00EC1585" w:rsidP="00E86E5F">
      <w:pPr>
        <w:rPr>
          <w:sz w:val="22"/>
          <w:szCs w:val="22"/>
        </w:rPr>
      </w:pPr>
    </w:p>
    <w:p w:rsidR="00750A05" w:rsidRPr="005558B1" w:rsidRDefault="00750A05" w:rsidP="00E86E5F">
      <w:pPr>
        <w:rPr>
          <w:b/>
          <w:sz w:val="22"/>
          <w:szCs w:val="22"/>
        </w:rPr>
      </w:pPr>
      <w:r>
        <w:rPr>
          <w:sz w:val="22"/>
          <w:szCs w:val="22"/>
        </w:rPr>
        <w:t>Funding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5558B1">
        <w:rPr>
          <w:b/>
          <w:sz w:val="22"/>
          <w:szCs w:val="22"/>
        </w:rPr>
        <w:t>PPA Corporate Funds</w:t>
      </w:r>
    </w:p>
    <w:p w:rsidR="00750A05" w:rsidRPr="005558B1" w:rsidRDefault="00750A05" w:rsidP="00E86E5F">
      <w:pPr>
        <w:rPr>
          <w:b/>
          <w:sz w:val="22"/>
          <w:szCs w:val="22"/>
        </w:rPr>
      </w:pPr>
      <w:r>
        <w:rPr>
          <w:sz w:val="22"/>
          <w:szCs w:val="22"/>
        </w:rPr>
        <w:t>Contract Duration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3601B2">
        <w:rPr>
          <w:b/>
          <w:sz w:val="22"/>
          <w:szCs w:val="22"/>
        </w:rPr>
        <w:t>Six (6</w:t>
      </w:r>
      <w:r w:rsidRPr="005558B1">
        <w:rPr>
          <w:b/>
          <w:sz w:val="22"/>
          <w:szCs w:val="22"/>
        </w:rPr>
        <w:t xml:space="preserve">) Months </w:t>
      </w:r>
      <w:r w:rsidR="00A05C9D">
        <w:rPr>
          <w:b/>
          <w:sz w:val="22"/>
          <w:szCs w:val="22"/>
        </w:rPr>
        <w:t xml:space="preserve">– </w:t>
      </w:r>
      <w:r w:rsidR="003601B2">
        <w:rPr>
          <w:b/>
          <w:sz w:val="22"/>
          <w:szCs w:val="22"/>
        </w:rPr>
        <w:t>July 1, 2016 to December 31, 2016</w:t>
      </w:r>
    </w:p>
    <w:p w:rsidR="00750A05" w:rsidRDefault="00750A05" w:rsidP="00E86E5F">
      <w:pPr>
        <w:rPr>
          <w:sz w:val="22"/>
          <w:szCs w:val="22"/>
        </w:rPr>
      </w:pPr>
    </w:p>
    <w:p w:rsidR="00750A05" w:rsidRDefault="00750A05" w:rsidP="00E86E5F">
      <w:pPr>
        <w:rPr>
          <w:sz w:val="22"/>
          <w:szCs w:val="22"/>
        </w:rPr>
      </w:pPr>
      <w:r>
        <w:rPr>
          <w:sz w:val="22"/>
          <w:szCs w:val="22"/>
        </w:rPr>
        <w:t>Temporary Support Personnel:</w:t>
      </w:r>
    </w:p>
    <w:p w:rsidR="00750A05" w:rsidRDefault="00750A05" w:rsidP="00E86E5F">
      <w:pPr>
        <w:rPr>
          <w:sz w:val="22"/>
          <w:szCs w:val="22"/>
        </w:rPr>
      </w:pPr>
    </w:p>
    <w:p w:rsidR="00750A05" w:rsidRDefault="00750A05" w:rsidP="00E86E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Place of Assignment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No. of Personnel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Position</w:t>
      </w:r>
    </w:p>
    <w:p w:rsidR="00750A05" w:rsidRDefault="00750A05" w:rsidP="00E86E5F">
      <w:pPr>
        <w:rPr>
          <w:sz w:val="22"/>
          <w:szCs w:val="22"/>
        </w:rPr>
      </w:pPr>
    </w:p>
    <w:p w:rsidR="0059784E" w:rsidRDefault="001062BF" w:rsidP="00750A0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PMO ZDN </w:t>
      </w:r>
      <w:r w:rsidR="0066304A">
        <w:rPr>
          <w:sz w:val="22"/>
          <w:szCs w:val="22"/>
        </w:rPr>
        <w:t>/</w:t>
      </w:r>
      <w:r>
        <w:rPr>
          <w:sz w:val="22"/>
          <w:szCs w:val="22"/>
        </w:rPr>
        <w:t xml:space="preserve"> Dapitan</w:t>
      </w:r>
      <w:r w:rsidR="00E13D66">
        <w:rPr>
          <w:sz w:val="22"/>
          <w:szCs w:val="22"/>
        </w:rPr>
        <w:tab/>
      </w:r>
      <w:r w:rsidR="00E13D66">
        <w:rPr>
          <w:sz w:val="22"/>
          <w:szCs w:val="22"/>
        </w:rPr>
        <w:tab/>
      </w:r>
      <w:r w:rsidR="00E13D66">
        <w:rPr>
          <w:sz w:val="22"/>
          <w:szCs w:val="22"/>
        </w:rPr>
        <w:tab/>
      </w:r>
      <w:r w:rsidR="00E13D66">
        <w:rPr>
          <w:sz w:val="22"/>
          <w:szCs w:val="22"/>
        </w:rPr>
        <w:tab/>
      </w:r>
    </w:p>
    <w:p w:rsidR="007D249D" w:rsidRDefault="007D249D" w:rsidP="0059784E">
      <w:pPr>
        <w:pStyle w:val="ListParagraph"/>
        <w:rPr>
          <w:sz w:val="22"/>
          <w:szCs w:val="22"/>
        </w:rPr>
      </w:pPr>
    </w:p>
    <w:p w:rsidR="00E13D66" w:rsidRDefault="009F20E7" w:rsidP="0059784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Office of the Port Manager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One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Secretary A</w:t>
      </w:r>
    </w:p>
    <w:p w:rsidR="009F20E7" w:rsidRDefault="00685FFD" w:rsidP="0059784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One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Driver Mechanic</w:t>
      </w:r>
    </w:p>
    <w:p w:rsidR="00685FFD" w:rsidRDefault="00685FFD" w:rsidP="0059784E">
      <w:pPr>
        <w:pStyle w:val="ListParagraph"/>
        <w:rPr>
          <w:sz w:val="22"/>
          <w:szCs w:val="22"/>
        </w:rPr>
      </w:pPr>
    </w:p>
    <w:p w:rsidR="00685FFD" w:rsidRDefault="00C00989" w:rsidP="00685FF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Port Services Division</w:t>
      </w:r>
      <w:r>
        <w:rPr>
          <w:sz w:val="22"/>
          <w:szCs w:val="22"/>
        </w:rPr>
        <w:tab/>
      </w:r>
      <w:r w:rsidR="00685FFD">
        <w:rPr>
          <w:sz w:val="22"/>
          <w:szCs w:val="22"/>
        </w:rPr>
        <w:t xml:space="preserve"> </w:t>
      </w:r>
    </w:p>
    <w:p w:rsidR="009F20E7" w:rsidRDefault="00685FFD" w:rsidP="0059784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Four (4</w:t>
      </w:r>
      <w:r w:rsidR="009F20E7">
        <w:rPr>
          <w:sz w:val="22"/>
          <w:szCs w:val="22"/>
        </w:rPr>
        <w:t>)</w:t>
      </w:r>
      <w:r w:rsidR="009F20E7">
        <w:rPr>
          <w:sz w:val="22"/>
          <w:szCs w:val="22"/>
        </w:rPr>
        <w:tab/>
      </w:r>
      <w:r w:rsidR="009F20E7">
        <w:rPr>
          <w:sz w:val="22"/>
          <w:szCs w:val="22"/>
        </w:rPr>
        <w:tab/>
      </w:r>
      <w:r w:rsidR="009F20E7">
        <w:rPr>
          <w:sz w:val="22"/>
          <w:szCs w:val="22"/>
        </w:rPr>
        <w:tab/>
        <w:t>Data Encoders</w:t>
      </w:r>
    </w:p>
    <w:p w:rsidR="00685FFD" w:rsidRDefault="00685FFD" w:rsidP="0059784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One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Sr. Management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Information</w:t>
      </w:r>
    </w:p>
    <w:p w:rsidR="00C546B5" w:rsidRDefault="00685FFD" w:rsidP="0059784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System Analyst</w:t>
      </w:r>
    </w:p>
    <w:p w:rsidR="00685FFD" w:rsidRDefault="00685FFD" w:rsidP="0059784E">
      <w:pPr>
        <w:pStyle w:val="ListParagraph"/>
        <w:rPr>
          <w:sz w:val="22"/>
          <w:szCs w:val="22"/>
        </w:rPr>
      </w:pPr>
    </w:p>
    <w:p w:rsidR="00E13D66" w:rsidRDefault="009F20E7" w:rsidP="009F20E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Administrative Support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One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Clerk Processor</w:t>
      </w:r>
    </w:p>
    <w:p w:rsidR="00E13D66" w:rsidRDefault="009F20E7" w:rsidP="00E13D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6406">
        <w:rPr>
          <w:sz w:val="22"/>
          <w:szCs w:val="22"/>
        </w:rPr>
        <w:t>Two (2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Utility Workers</w:t>
      </w:r>
    </w:p>
    <w:p w:rsidR="009F20E7" w:rsidRDefault="009F20E7" w:rsidP="00E13D66">
      <w:pPr>
        <w:pStyle w:val="ListParagraph"/>
        <w:rPr>
          <w:sz w:val="22"/>
          <w:szCs w:val="22"/>
        </w:rPr>
      </w:pPr>
    </w:p>
    <w:p w:rsidR="009F20E7" w:rsidRDefault="009F20E7" w:rsidP="00E13D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Engineering Services Division</w:t>
      </w:r>
      <w:r>
        <w:rPr>
          <w:sz w:val="22"/>
          <w:szCs w:val="22"/>
        </w:rPr>
        <w:tab/>
        <w:t>One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Building Electrician</w:t>
      </w:r>
    </w:p>
    <w:p w:rsidR="00E13D66" w:rsidRDefault="00685FFD" w:rsidP="00E13D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One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Carpenter A</w:t>
      </w:r>
    </w:p>
    <w:p w:rsidR="00E13D66" w:rsidRDefault="00E13D66" w:rsidP="00E13D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6147">
        <w:rPr>
          <w:sz w:val="22"/>
          <w:szCs w:val="22"/>
        </w:rPr>
        <w:tab/>
      </w:r>
      <w:r w:rsidR="00266147">
        <w:rPr>
          <w:sz w:val="22"/>
          <w:szCs w:val="22"/>
        </w:rPr>
        <w:tab/>
        <w:t>Two (2)</w:t>
      </w:r>
      <w:r w:rsidR="00266147">
        <w:rPr>
          <w:sz w:val="22"/>
          <w:szCs w:val="22"/>
        </w:rPr>
        <w:tab/>
      </w:r>
      <w:r w:rsidR="00266147">
        <w:rPr>
          <w:sz w:val="22"/>
          <w:szCs w:val="22"/>
        </w:rPr>
        <w:tab/>
      </w:r>
      <w:r w:rsidR="00266147">
        <w:rPr>
          <w:sz w:val="22"/>
          <w:szCs w:val="22"/>
        </w:rPr>
        <w:tab/>
        <w:t>Utility Workers</w:t>
      </w:r>
    </w:p>
    <w:p w:rsidR="00266147" w:rsidRDefault="00266147" w:rsidP="00E13D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One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Draftsman</w:t>
      </w:r>
    </w:p>
    <w:p w:rsidR="003C4650" w:rsidRDefault="003C4650" w:rsidP="003C4650">
      <w:pPr>
        <w:pStyle w:val="ListParagraph"/>
        <w:rPr>
          <w:sz w:val="22"/>
          <w:szCs w:val="22"/>
        </w:rPr>
      </w:pPr>
    </w:p>
    <w:p w:rsidR="009715D4" w:rsidRDefault="00266147" w:rsidP="003C465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Finance Section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One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Accounting Processor</w:t>
      </w:r>
      <w:r w:rsidR="00685FFD">
        <w:rPr>
          <w:sz w:val="22"/>
          <w:szCs w:val="22"/>
        </w:rPr>
        <w:tab/>
      </w:r>
      <w:r w:rsidR="00685FFD">
        <w:rPr>
          <w:sz w:val="22"/>
          <w:szCs w:val="22"/>
        </w:rPr>
        <w:tab/>
      </w:r>
      <w:r w:rsidR="00685FF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15D4">
        <w:rPr>
          <w:sz w:val="22"/>
          <w:szCs w:val="22"/>
        </w:rPr>
        <w:t>One (1)</w:t>
      </w:r>
      <w:r w:rsidR="009715D4">
        <w:rPr>
          <w:sz w:val="22"/>
          <w:szCs w:val="22"/>
        </w:rPr>
        <w:tab/>
      </w:r>
      <w:r w:rsidR="009715D4">
        <w:rPr>
          <w:sz w:val="22"/>
          <w:szCs w:val="22"/>
        </w:rPr>
        <w:tab/>
      </w:r>
      <w:r w:rsidR="009715D4">
        <w:rPr>
          <w:sz w:val="22"/>
          <w:szCs w:val="22"/>
        </w:rPr>
        <w:tab/>
        <w:t>Collection Rep. B</w:t>
      </w:r>
    </w:p>
    <w:p w:rsidR="00266147" w:rsidRDefault="00685FFD" w:rsidP="00E13D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7D94">
        <w:rPr>
          <w:sz w:val="22"/>
          <w:szCs w:val="22"/>
        </w:rPr>
        <w:t>One (1)</w:t>
      </w:r>
      <w:r w:rsidR="003C7D94">
        <w:rPr>
          <w:sz w:val="22"/>
          <w:szCs w:val="22"/>
        </w:rPr>
        <w:tab/>
      </w:r>
      <w:r w:rsidR="003C7D94">
        <w:rPr>
          <w:sz w:val="22"/>
          <w:szCs w:val="22"/>
        </w:rPr>
        <w:tab/>
      </w:r>
      <w:r w:rsidR="003C7D94">
        <w:rPr>
          <w:sz w:val="22"/>
          <w:szCs w:val="22"/>
        </w:rPr>
        <w:tab/>
        <w:t>Data Encoder</w:t>
      </w:r>
    </w:p>
    <w:p w:rsidR="00750A05" w:rsidRDefault="0059784E" w:rsidP="00E13D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D66">
        <w:rPr>
          <w:sz w:val="22"/>
          <w:szCs w:val="22"/>
        </w:rPr>
        <w:tab/>
      </w:r>
      <w:r w:rsidR="00E13D66">
        <w:rPr>
          <w:sz w:val="22"/>
          <w:szCs w:val="22"/>
        </w:rPr>
        <w:tab/>
      </w:r>
      <w:r w:rsidR="00E13D66">
        <w:rPr>
          <w:sz w:val="22"/>
          <w:szCs w:val="22"/>
        </w:rPr>
        <w:tab/>
      </w:r>
    </w:p>
    <w:p w:rsidR="00750A05" w:rsidRPr="00491249" w:rsidRDefault="00750A05" w:rsidP="0049124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GRAND TOTAL</w:t>
      </w:r>
      <w:r w:rsidR="00491249">
        <w:rPr>
          <w:b/>
          <w:sz w:val="22"/>
          <w:szCs w:val="22"/>
        </w:rPr>
        <w:t xml:space="preserve">                 </w:t>
      </w:r>
      <w:r w:rsidR="00491249">
        <w:rPr>
          <w:b/>
          <w:sz w:val="22"/>
          <w:szCs w:val="22"/>
        </w:rPr>
        <w:tab/>
      </w:r>
      <w:r w:rsidR="00491249">
        <w:rPr>
          <w:b/>
          <w:sz w:val="22"/>
          <w:szCs w:val="22"/>
        </w:rPr>
        <w:tab/>
      </w:r>
      <w:r w:rsidR="00491249">
        <w:rPr>
          <w:b/>
          <w:sz w:val="22"/>
          <w:szCs w:val="22"/>
        </w:rPr>
        <w:tab/>
        <w:t>__</w:t>
      </w:r>
      <w:r w:rsidR="00C00989">
        <w:rPr>
          <w:b/>
          <w:sz w:val="22"/>
          <w:szCs w:val="22"/>
          <w:u w:val="single"/>
        </w:rPr>
        <w:t xml:space="preserve">    18</w:t>
      </w:r>
      <w:r w:rsidR="00491249">
        <w:rPr>
          <w:b/>
          <w:sz w:val="22"/>
          <w:szCs w:val="22"/>
          <w:u w:val="single"/>
        </w:rPr>
        <w:t>___</w:t>
      </w:r>
    </w:p>
    <w:p w:rsidR="002F45F5" w:rsidRDefault="002F45F5" w:rsidP="00750A05">
      <w:pPr>
        <w:rPr>
          <w:b/>
          <w:sz w:val="22"/>
          <w:szCs w:val="22"/>
        </w:rPr>
      </w:pPr>
    </w:p>
    <w:p w:rsidR="005150D0" w:rsidRDefault="005150D0" w:rsidP="00F652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Prospective bidders should have </w:t>
      </w:r>
      <w:r w:rsidR="00E244E3">
        <w:rPr>
          <w:sz w:val="22"/>
          <w:szCs w:val="22"/>
        </w:rPr>
        <w:t>completed, within the last ten (10</w:t>
      </w:r>
      <w:r w:rsidR="00E13D66">
        <w:rPr>
          <w:sz w:val="22"/>
          <w:szCs w:val="22"/>
        </w:rPr>
        <w:t>) years from the date of submission and receipt of bids, a single contract that is similar to the Project, the value of which must be at least fifty percent (50%) of the Approved Budget for the Contract (ABC)</w:t>
      </w:r>
      <w:r w:rsidR="00491249">
        <w:rPr>
          <w:sz w:val="22"/>
          <w:szCs w:val="22"/>
        </w:rPr>
        <w:t xml:space="preserve"> to be bid. The description of an eligible bidder is contained in the Bidding Documents, particularly, in Section III, Instruction to Bidders.</w:t>
      </w:r>
    </w:p>
    <w:p w:rsidR="00730623" w:rsidRDefault="00730623" w:rsidP="00F652B0">
      <w:pPr>
        <w:jc w:val="both"/>
        <w:rPr>
          <w:sz w:val="22"/>
          <w:szCs w:val="22"/>
        </w:rPr>
      </w:pPr>
    </w:p>
    <w:p w:rsidR="005150D0" w:rsidRDefault="005150D0" w:rsidP="00F652B0">
      <w:pPr>
        <w:jc w:val="both"/>
        <w:rPr>
          <w:sz w:val="22"/>
          <w:szCs w:val="22"/>
        </w:rPr>
      </w:pPr>
      <w:r>
        <w:rPr>
          <w:sz w:val="22"/>
          <w:szCs w:val="22"/>
        </w:rPr>
        <w:t>All particulars relative to eligibility Statement and Screening, Bid Security, Performance Security, Pre-Bidding Conference(s), Evaluation of Bids, Post-Qualification and Award of Contract shall be governed by the pertinent provisions of R.A. 9184 and its Implementing Rules and Regulation (IRR).</w:t>
      </w:r>
    </w:p>
    <w:p w:rsidR="005150D0" w:rsidRDefault="005150D0" w:rsidP="00750A05">
      <w:pPr>
        <w:rPr>
          <w:sz w:val="22"/>
          <w:szCs w:val="22"/>
        </w:rPr>
      </w:pPr>
    </w:p>
    <w:p w:rsidR="005150D0" w:rsidRDefault="005150D0" w:rsidP="00750A05">
      <w:pPr>
        <w:rPr>
          <w:sz w:val="22"/>
          <w:szCs w:val="22"/>
        </w:rPr>
      </w:pPr>
      <w:r>
        <w:rPr>
          <w:sz w:val="22"/>
          <w:szCs w:val="22"/>
        </w:rPr>
        <w:t>The complete schedule of activities is listed, as follows:</w:t>
      </w:r>
    </w:p>
    <w:p w:rsidR="003A6548" w:rsidRDefault="003A6548" w:rsidP="00750A0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8"/>
        <w:gridCol w:w="4338"/>
      </w:tblGrid>
      <w:tr w:rsidR="003A6548" w:rsidTr="00AD0175">
        <w:tc>
          <w:tcPr>
            <w:tcW w:w="5238" w:type="dxa"/>
          </w:tcPr>
          <w:p w:rsidR="003A6548" w:rsidRPr="00AD0175" w:rsidRDefault="003A6548" w:rsidP="00AD0175">
            <w:pPr>
              <w:jc w:val="center"/>
              <w:rPr>
                <w:b/>
                <w:sz w:val="22"/>
                <w:szCs w:val="22"/>
              </w:rPr>
            </w:pPr>
            <w:r w:rsidRPr="00AD0175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4338" w:type="dxa"/>
          </w:tcPr>
          <w:p w:rsidR="003A6548" w:rsidRPr="00AD0175" w:rsidRDefault="003A6548" w:rsidP="00AD0175">
            <w:pPr>
              <w:jc w:val="center"/>
              <w:rPr>
                <w:b/>
                <w:sz w:val="22"/>
                <w:szCs w:val="22"/>
              </w:rPr>
            </w:pPr>
            <w:r w:rsidRPr="00AD0175">
              <w:rPr>
                <w:b/>
                <w:sz w:val="22"/>
                <w:szCs w:val="22"/>
              </w:rPr>
              <w:t>Schedule</w:t>
            </w:r>
          </w:p>
        </w:tc>
      </w:tr>
      <w:tr w:rsidR="003A6548" w:rsidTr="00AD0175">
        <w:tc>
          <w:tcPr>
            <w:tcW w:w="5238" w:type="dxa"/>
          </w:tcPr>
          <w:p w:rsidR="003A6548" w:rsidRPr="00AD0175" w:rsidRDefault="003A6548" w:rsidP="00750A05">
            <w:pPr>
              <w:rPr>
                <w:sz w:val="22"/>
                <w:szCs w:val="22"/>
              </w:rPr>
            </w:pPr>
            <w:r w:rsidRPr="00AD0175">
              <w:rPr>
                <w:sz w:val="22"/>
                <w:szCs w:val="22"/>
              </w:rPr>
              <w:t>1. Issuance of Bid Documents</w:t>
            </w:r>
          </w:p>
        </w:tc>
        <w:tc>
          <w:tcPr>
            <w:tcW w:w="4338" w:type="dxa"/>
          </w:tcPr>
          <w:p w:rsidR="003A6548" w:rsidRPr="00AD0175" w:rsidRDefault="00491249" w:rsidP="00163051">
            <w:pPr>
              <w:rPr>
                <w:sz w:val="22"/>
                <w:szCs w:val="22"/>
              </w:rPr>
            </w:pPr>
            <w:r w:rsidRPr="00CF4BD8">
              <w:rPr>
                <w:sz w:val="20"/>
                <w:szCs w:val="22"/>
              </w:rPr>
              <w:t xml:space="preserve">  </w:t>
            </w:r>
            <w:r w:rsidR="008037D8">
              <w:rPr>
                <w:rFonts w:cs="Arial"/>
                <w:sz w:val="22"/>
                <w:szCs w:val="24"/>
              </w:rPr>
              <w:t>Apr.26</w:t>
            </w:r>
            <w:r w:rsidR="009667ED">
              <w:rPr>
                <w:rFonts w:cs="Arial"/>
                <w:sz w:val="22"/>
                <w:szCs w:val="24"/>
              </w:rPr>
              <w:t xml:space="preserve">- </w:t>
            </w:r>
            <w:r w:rsidR="00163051">
              <w:rPr>
                <w:rFonts w:cs="Arial"/>
                <w:sz w:val="22"/>
                <w:szCs w:val="24"/>
              </w:rPr>
              <w:t>May</w:t>
            </w:r>
            <w:r w:rsidR="008037D8">
              <w:rPr>
                <w:rFonts w:cs="Arial"/>
                <w:sz w:val="22"/>
                <w:szCs w:val="24"/>
              </w:rPr>
              <w:t xml:space="preserve"> 2</w:t>
            </w:r>
            <w:r w:rsidR="001062BF">
              <w:rPr>
                <w:rFonts w:cs="Arial"/>
                <w:sz w:val="22"/>
                <w:szCs w:val="24"/>
              </w:rPr>
              <w:t>4</w:t>
            </w:r>
            <w:r w:rsidR="00CF4BD8" w:rsidRPr="00CF4BD8">
              <w:rPr>
                <w:rFonts w:cs="Arial"/>
                <w:sz w:val="22"/>
                <w:szCs w:val="24"/>
              </w:rPr>
              <w:t>, 201</w:t>
            </w:r>
            <w:bookmarkStart w:id="0" w:name="_GoBack"/>
            <w:bookmarkEnd w:id="0"/>
            <w:r w:rsidR="00CF4BD8" w:rsidRPr="00CF4BD8">
              <w:rPr>
                <w:rFonts w:cs="Arial"/>
                <w:sz w:val="22"/>
                <w:szCs w:val="24"/>
              </w:rPr>
              <w:t>6</w:t>
            </w:r>
          </w:p>
        </w:tc>
      </w:tr>
      <w:tr w:rsidR="003A6548" w:rsidTr="00AD0175">
        <w:tc>
          <w:tcPr>
            <w:tcW w:w="5238" w:type="dxa"/>
          </w:tcPr>
          <w:p w:rsidR="003A6548" w:rsidRPr="00AD0175" w:rsidRDefault="003A6548" w:rsidP="00750A05">
            <w:pPr>
              <w:rPr>
                <w:sz w:val="22"/>
                <w:szCs w:val="22"/>
              </w:rPr>
            </w:pPr>
            <w:r w:rsidRPr="00AD0175">
              <w:rPr>
                <w:sz w:val="22"/>
                <w:szCs w:val="22"/>
              </w:rPr>
              <w:t>2. Pre-bid Conference</w:t>
            </w:r>
          </w:p>
        </w:tc>
        <w:tc>
          <w:tcPr>
            <w:tcW w:w="4338" w:type="dxa"/>
          </w:tcPr>
          <w:p w:rsidR="003A6548" w:rsidRPr="00AD0175" w:rsidRDefault="00491249" w:rsidP="00163051">
            <w:pPr>
              <w:rPr>
                <w:sz w:val="22"/>
                <w:szCs w:val="22"/>
              </w:rPr>
            </w:pPr>
            <w:r w:rsidRPr="00AD0175">
              <w:rPr>
                <w:sz w:val="22"/>
                <w:szCs w:val="22"/>
              </w:rPr>
              <w:t xml:space="preserve">  </w:t>
            </w:r>
            <w:r w:rsidR="008037D8">
              <w:rPr>
                <w:rFonts w:cs="Arial"/>
                <w:sz w:val="22"/>
                <w:szCs w:val="24"/>
              </w:rPr>
              <w:t>May 12, 2016 @ 10:00A</w:t>
            </w:r>
            <w:r w:rsidR="00CF4BD8" w:rsidRPr="00CF4BD8">
              <w:rPr>
                <w:rFonts w:cs="Arial"/>
                <w:sz w:val="22"/>
                <w:szCs w:val="24"/>
              </w:rPr>
              <w:t>M</w:t>
            </w:r>
          </w:p>
        </w:tc>
      </w:tr>
      <w:tr w:rsidR="003A6548" w:rsidTr="00AD0175">
        <w:tc>
          <w:tcPr>
            <w:tcW w:w="5238" w:type="dxa"/>
          </w:tcPr>
          <w:p w:rsidR="003A6548" w:rsidRPr="00AD0175" w:rsidRDefault="003A6548" w:rsidP="00750A05">
            <w:pPr>
              <w:rPr>
                <w:sz w:val="22"/>
                <w:szCs w:val="22"/>
              </w:rPr>
            </w:pPr>
            <w:r w:rsidRPr="00AD0175">
              <w:rPr>
                <w:sz w:val="22"/>
                <w:szCs w:val="22"/>
              </w:rPr>
              <w:t>3. Submission and Opening of Bids</w:t>
            </w:r>
          </w:p>
        </w:tc>
        <w:tc>
          <w:tcPr>
            <w:tcW w:w="4338" w:type="dxa"/>
          </w:tcPr>
          <w:p w:rsidR="003A6548" w:rsidRPr="00AD0175" w:rsidRDefault="00491249" w:rsidP="00163051">
            <w:pPr>
              <w:rPr>
                <w:sz w:val="22"/>
                <w:szCs w:val="22"/>
              </w:rPr>
            </w:pPr>
            <w:r w:rsidRPr="00AD0175">
              <w:rPr>
                <w:sz w:val="22"/>
                <w:szCs w:val="22"/>
              </w:rPr>
              <w:t xml:space="preserve">  </w:t>
            </w:r>
            <w:r w:rsidR="008037D8">
              <w:rPr>
                <w:rFonts w:cs="Arial"/>
                <w:sz w:val="22"/>
                <w:szCs w:val="24"/>
              </w:rPr>
              <w:t>May 24</w:t>
            </w:r>
            <w:r w:rsidR="00CF4BD8" w:rsidRPr="00CF4BD8">
              <w:rPr>
                <w:rFonts w:cs="Arial"/>
                <w:sz w:val="22"/>
                <w:szCs w:val="24"/>
              </w:rPr>
              <w:t>, 2016 @ 10:00 AM</w:t>
            </w:r>
          </w:p>
        </w:tc>
      </w:tr>
    </w:tbl>
    <w:p w:rsidR="003A6548" w:rsidRDefault="003A6548" w:rsidP="00750A05">
      <w:pPr>
        <w:rPr>
          <w:sz w:val="24"/>
          <w:szCs w:val="22"/>
        </w:rPr>
      </w:pPr>
    </w:p>
    <w:p w:rsidR="002F45F5" w:rsidRDefault="002F45F5" w:rsidP="00750A05">
      <w:pPr>
        <w:rPr>
          <w:sz w:val="24"/>
          <w:szCs w:val="22"/>
        </w:rPr>
      </w:pPr>
    </w:p>
    <w:p w:rsidR="002F45F5" w:rsidRDefault="002F45F5" w:rsidP="00750A05">
      <w:pPr>
        <w:rPr>
          <w:sz w:val="24"/>
          <w:szCs w:val="22"/>
        </w:rPr>
      </w:pPr>
    </w:p>
    <w:p w:rsidR="00834B54" w:rsidRDefault="00834B54" w:rsidP="00750A05">
      <w:pPr>
        <w:rPr>
          <w:sz w:val="24"/>
          <w:szCs w:val="22"/>
        </w:rPr>
      </w:pPr>
    </w:p>
    <w:p w:rsidR="002F45F5" w:rsidRDefault="002F45F5" w:rsidP="00750A05">
      <w:pPr>
        <w:rPr>
          <w:sz w:val="24"/>
          <w:szCs w:val="22"/>
        </w:rPr>
      </w:pPr>
    </w:p>
    <w:p w:rsidR="002F45F5" w:rsidRPr="00E1159A" w:rsidRDefault="002F45F5" w:rsidP="00750A05">
      <w:pPr>
        <w:rPr>
          <w:sz w:val="24"/>
          <w:szCs w:val="22"/>
        </w:rPr>
      </w:pPr>
    </w:p>
    <w:p w:rsidR="00B80869" w:rsidRDefault="00B80869" w:rsidP="00E1159A">
      <w:pPr>
        <w:pStyle w:val="NoSpacing"/>
        <w:jc w:val="both"/>
        <w:rPr>
          <w:rFonts w:ascii="Arial" w:hAnsi="Arial" w:cs="Arial"/>
          <w:szCs w:val="20"/>
        </w:rPr>
      </w:pPr>
    </w:p>
    <w:p w:rsidR="00B80869" w:rsidRDefault="00B80869" w:rsidP="00E1159A">
      <w:pPr>
        <w:pStyle w:val="NoSpacing"/>
        <w:jc w:val="both"/>
        <w:rPr>
          <w:rFonts w:ascii="Arial" w:hAnsi="Arial" w:cs="Arial"/>
          <w:szCs w:val="20"/>
        </w:rPr>
      </w:pPr>
    </w:p>
    <w:p w:rsidR="00E1159A" w:rsidRPr="002F45F5" w:rsidRDefault="00E1159A" w:rsidP="00E1159A">
      <w:pPr>
        <w:pStyle w:val="NoSpacing"/>
        <w:jc w:val="both"/>
        <w:rPr>
          <w:rFonts w:ascii="Arial" w:hAnsi="Arial" w:cs="Arial"/>
          <w:szCs w:val="20"/>
        </w:rPr>
      </w:pPr>
      <w:r w:rsidRPr="002F45F5">
        <w:rPr>
          <w:rFonts w:ascii="Arial" w:hAnsi="Arial" w:cs="Arial"/>
          <w:szCs w:val="20"/>
        </w:rPr>
        <w:t xml:space="preserve">Letter of Intent will be received from </w:t>
      </w:r>
      <w:r w:rsidR="008037D8">
        <w:rPr>
          <w:rFonts w:ascii="Arial" w:hAnsi="Arial" w:cs="Arial"/>
          <w:b/>
          <w:szCs w:val="24"/>
        </w:rPr>
        <w:t>April 26</w:t>
      </w:r>
      <w:r w:rsidR="00251469">
        <w:rPr>
          <w:rFonts w:ascii="Arial" w:hAnsi="Arial" w:cs="Arial"/>
          <w:b/>
          <w:szCs w:val="24"/>
        </w:rPr>
        <w:t xml:space="preserve">, 2016 </w:t>
      </w:r>
      <w:r w:rsidR="009667ED">
        <w:rPr>
          <w:rFonts w:ascii="Arial" w:hAnsi="Arial" w:cs="Arial"/>
          <w:b/>
          <w:szCs w:val="24"/>
        </w:rPr>
        <w:t xml:space="preserve">to </w:t>
      </w:r>
      <w:r w:rsidR="008037D8">
        <w:rPr>
          <w:rFonts w:ascii="Arial" w:hAnsi="Arial" w:cs="Arial"/>
          <w:b/>
          <w:szCs w:val="24"/>
        </w:rPr>
        <w:t>May 24</w:t>
      </w:r>
      <w:r w:rsidR="00CF4BD8" w:rsidRPr="003C7D94">
        <w:rPr>
          <w:rFonts w:ascii="Arial" w:hAnsi="Arial" w:cs="Arial"/>
          <w:b/>
          <w:szCs w:val="24"/>
        </w:rPr>
        <w:t>, 2016</w:t>
      </w:r>
      <w:r w:rsidRPr="002F45F5">
        <w:rPr>
          <w:rFonts w:ascii="Arial" w:hAnsi="Arial" w:cs="Arial"/>
          <w:szCs w:val="20"/>
        </w:rPr>
        <w:t xml:space="preserve">. </w:t>
      </w:r>
      <w:r w:rsidR="00A80BD8" w:rsidRPr="002F45F5">
        <w:rPr>
          <w:rFonts w:ascii="Arial" w:hAnsi="Arial" w:cs="Arial"/>
          <w:szCs w:val="20"/>
        </w:rPr>
        <w:t xml:space="preserve">All interested bidders must click the Document Request List (DRL) in the </w:t>
      </w:r>
      <w:proofErr w:type="spellStart"/>
      <w:r w:rsidR="00A80BD8" w:rsidRPr="002F45F5">
        <w:rPr>
          <w:rFonts w:ascii="Arial" w:hAnsi="Arial" w:cs="Arial"/>
          <w:szCs w:val="20"/>
        </w:rPr>
        <w:t>PhilGEPS</w:t>
      </w:r>
      <w:proofErr w:type="spellEnd"/>
      <w:r w:rsidR="00A80BD8" w:rsidRPr="002F45F5">
        <w:rPr>
          <w:rFonts w:ascii="Arial" w:hAnsi="Arial" w:cs="Arial"/>
          <w:szCs w:val="20"/>
        </w:rPr>
        <w:t>.</w:t>
      </w:r>
    </w:p>
    <w:p w:rsidR="00730623" w:rsidRDefault="00730623" w:rsidP="00F652B0">
      <w:pPr>
        <w:jc w:val="both"/>
        <w:rPr>
          <w:sz w:val="22"/>
          <w:szCs w:val="22"/>
        </w:rPr>
      </w:pPr>
    </w:p>
    <w:p w:rsidR="003A6548" w:rsidRDefault="003A6548" w:rsidP="00F652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Bid Documents will be available only to prospective bidders upon payment of a non-refundable amount of </w:t>
      </w:r>
      <w:r w:rsidR="00491249">
        <w:rPr>
          <w:b/>
          <w:sz w:val="22"/>
          <w:szCs w:val="22"/>
        </w:rPr>
        <w:t>Five Thousand Pesos Only (</w:t>
      </w:r>
      <w:proofErr w:type="spellStart"/>
      <w:r w:rsidR="00491249">
        <w:rPr>
          <w:b/>
          <w:sz w:val="22"/>
          <w:szCs w:val="22"/>
        </w:rPr>
        <w:t>Php</w:t>
      </w:r>
      <w:proofErr w:type="spellEnd"/>
      <w:r w:rsidR="00491249">
        <w:rPr>
          <w:b/>
          <w:sz w:val="22"/>
          <w:szCs w:val="22"/>
        </w:rPr>
        <w:t xml:space="preserve"> 5</w:t>
      </w:r>
      <w:r>
        <w:rPr>
          <w:b/>
          <w:sz w:val="22"/>
          <w:szCs w:val="22"/>
        </w:rPr>
        <w:t>,000.00)</w:t>
      </w:r>
      <w:r w:rsidR="003C4650">
        <w:rPr>
          <w:b/>
          <w:sz w:val="22"/>
          <w:szCs w:val="22"/>
        </w:rPr>
        <w:t xml:space="preserve"> </w:t>
      </w:r>
      <w:r w:rsidR="003C4650" w:rsidRPr="003C4650">
        <w:rPr>
          <w:sz w:val="22"/>
          <w:szCs w:val="22"/>
        </w:rPr>
        <w:t>exclusive of VAT,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to the PPA-PMO </w:t>
      </w:r>
      <w:proofErr w:type="spellStart"/>
      <w:r w:rsidR="00294B5F">
        <w:rPr>
          <w:sz w:val="22"/>
          <w:szCs w:val="22"/>
        </w:rPr>
        <w:t>Zamboanga</w:t>
      </w:r>
      <w:proofErr w:type="spellEnd"/>
      <w:r w:rsidR="00294B5F">
        <w:rPr>
          <w:sz w:val="22"/>
          <w:szCs w:val="22"/>
        </w:rPr>
        <w:t xml:space="preserve"> del Norte</w:t>
      </w:r>
      <w:r>
        <w:rPr>
          <w:sz w:val="22"/>
          <w:szCs w:val="22"/>
        </w:rPr>
        <w:t xml:space="preserve"> Cashier.</w:t>
      </w:r>
    </w:p>
    <w:p w:rsidR="003A6548" w:rsidRDefault="003A6548" w:rsidP="00F652B0">
      <w:pPr>
        <w:jc w:val="both"/>
        <w:rPr>
          <w:sz w:val="22"/>
          <w:szCs w:val="22"/>
        </w:rPr>
      </w:pPr>
    </w:p>
    <w:p w:rsidR="003A6548" w:rsidRDefault="003A6548" w:rsidP="00F652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PPA-PMO </w:t>
      </w:r>
      <w:proofErr w:type="spellStart"/>
      <w:r w:rsidR="00A80BD8">
        <w:rPr>
          <w:sz w:val="22"/>
          <w:szCs w:val="22"/>
        </w:rPr>
        <w:t>Zamboanga</w:t>
      </w:r>
      <w:proofErr w:type="spellEnd"/>
      <w:r w:rsidR="00A80BD8">
        <w:rPr>
          <w:sz w:val="22"/>
          <w:szCs w:val="22"/>
        </w:rPr>
        <w:t xml:space="preserve"> del Norte</w:t>
      </w:r>
      <w:r>
        <w:rPr>
          <w:sz w:val="22"/>
          <w:szCs w:val="22"/>
        </w:rPr>
        <w:t xml:space="preserve"> assumes no responsibility whatsoever to compensate or indemnify bidders for any expenses incurred in the preparation of the bid and reserves the right to reject any and/or all bids, waive any informality therein and to accept su</w:t>
      </w:r>
      <w:r w:rsidR="00491249">
        <w:rPr>
          <w:sz w:val="22"/>
          <w:szCs w:val="22"/>
        </w:rPr>
        <w:t xml:space="preserve">ch bid most advantageous to </w:t>
      </w:r>
      <w:r>
        <w:rPr>
          <w:sz w:val="22"/>
          <w:szCs w:val="22"/>
        </w:rPr>
        <w:t xml:space="preserve">PPA-PMO </w:t>
      </w:r>
      <w:proofErr w:type="spellStart"/>
      <w:r w:rsidR="00A80BD8">
        <w:rPr>
          <w:sz w:val="22"/>
          <w:szCs w:val="22"/>
        </w:rPr>
        <w:t>Zamboanga</w:t>
      </w:r>
      <w:proofErr w:type="spellEnd"/>
      <w:r w:rsidR="00A80BD8">
        <w:rPr>
          <w:sz w:val="22"/>
          <w:szCs w:val="22"/>
        </w:rPr>
        <w:t xml:space="preserve"> del Norte.</w:t>
      </w:r>
    </w:p>
    <w:p w:rsidR="003A6548" w:rsidRDefault="003A6548" w:rsidP="00750A05">
      <w:pPr>
        <w:rPr>
          <w:sz w:val="22"/>
          <w:szCs w:val="22"/>
        </w:rPr>
      </w:pPr>
    </w:p>
    <w:p w:rsidR="00730623" w:rsidRDefault="00730623" w:rsidP="00750A05">
      <w:pPr>
        <w:rPr>
          <w:b/>
          <w:sz w:val="22"/>
          <w:szCs w:val="22"/>
        </w:rPr>
      </w:pPr>
    </w:p>
    <w:p w:rsidR="00730623" w:rsidRDefault="00730623" w:rsidP="00750A05">
      <w:pPr>
        <w:rPr>
          <w:b/>
          <w:sz w:val="22"/>
          <w:szCs w:val="22"/>
        </w:rPr>
      </w:pPr>
    </w:p>
    <w:p w:rsidR="00730623" w:rsidRDefault="00730623" w:rsidP="00750A05">
      <w:pPr>
        <w:rPr>
          <w:b/>
          <w:sz w:val="22"/>
          <w:szCs w:val="22"/>
        </w:rPr>
      </w:pPr>
    </w:p>
    <w:p w:rsidR="00730623" w:rsidRDefault="00730623" w:rsidP="00750A05">
      <w:pPr>
        <w:rPr>
          <w:b/>
          <w:sz w:val="22"/>
          <w:szCs w:val="22"/>
        </w:rPr>
      </w:pPr>
    </w:p>
    <w:p w:rsidR="00730623" w:rsidRDefault="00730623" w:rsidP="00750A05">
      <w:pPr>
        <w:rPr>
          <w:b/>
          <w:sz w:val="22"/>
          <w:szCs w:val="22"/>
        </w:rPr>
      </w:pPr>
    </w:p>
    <w:p w:rsidR="003A6548" w:rsidRDefault="00A90945" w:rsidP="00750A05">
      <w:pPr>
        <w:rPr>
          <w:sz w:val="22"/>
          <w:szCs w:val="22"/>
        </w:rPr>
      </w:pPr>
      <w:r>
        <w:rPr>
          <w:b/>
          <w:sz w:val="22"/>
          <w:szCs w:val="22"/>
        </w:rPr>
        <w:t>(SGD)</w:t>
      </w:r>
      <w:r w:rsidR="003A6548">
        <w:rPr>
          <w:b/>
          <w:sz w:val="22"/>
          <w:szCs w:val="22"/>
        </w:rPr>
        <w:t>ARLENE A. OBORDO</w:t>
      </w:r>
    </w:p>
    <w:p w:rsidR="003A6548" w:rsidRDefault="00E1159A" w:rsidP="00750A05">
      <w:pPr>
        <w:rPr>
          <w:sz w:val="22"/>
          <w:szCs w:val="22"/>
        </w:rPr>
      </w:pPr>
      <w:r>
        <w:rPr>
          <w:sz w:val="22"/>
          <w:szCs w:val="22"/>
        </w:rPr>
        <w:t>Chairperson</w:t>
      </w:r>
      <w:r w:rsidR="003A6548">
        <w:rPr>
          <w:sz w:val="22"/>
          <w:szCs w:val="22"/>
        </w:rPr>
        <w:t>, BAC</w:t>
      </w:r>
      <w:r w:rsidR="00C67CC0">
        <w:rPr>
          <w:sz w:val="22"/>
          <w:szCs w:val="22"/>
        </w:rPr>
        <w:t>-PG-ZDN</w:t>
      </w:r>
    </w:p>
    <w:p w:rsidR="00491249" w:rsidRDefault="00491249" w:rsidP="00491249">
      <w:pPr>
        <w:rPr>
          <w:sz w:val="22"/>
          <w:szCs w:val="22"/>
        </w:rPr>
      </w:pPr>
    </w:p>
    <w:p w:rsidR="009B666F" w:rsidRDefault="009B666F" w:rsidP="00491249">
      <w:pPr>
        <w:ind w:left="720" w:firstLine="720"/>
        <w:rPr>
          <w:b/>
          <w:sz w:val="22"/>
          <w:szCs w:val="22"/>
        </w:rPr>
      </w:pPr>
    </w:p>
    <w:sectPr w:rsidR="009B666F" w:rsidSect="002F45F5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09C"/>
    <w:multiLevelType w:val="multilevel"/>
    <w:tmpl w:val="B0E4B9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F24CA6"/>
    <w:multiLevelType w:val="multilevel"/>
    <w:tmpl w:val="987C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7"/>
      <w:numFmt w:val="decimalZero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BD7186"/>
    <w:multiLevelType w:val="hybridMultilevel"/>
    <w:tmpl w:val="89DEA4C8"/>
    <w:lvl w:ilvl="0" w:tplc="13644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A516E"/>
    <w:multiLevelType w:val="hybridMultilevel"/>
    <w:tmpl w:val="372AA9DA"/>
    <w:lvl w:ilvl="0" w:tplc="0FCECF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6E5BE1"/>
    <w:multiLevelType w:val="hybridMultilevel"/>
    <w:tmpl w:val="3F18D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B46B3"/>
    <w:multiLevelType w:val="hybridMultilevel"/>
    <w:tmpl w:val="18CEE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76347"/>
    <w:multiLevelType w:val="hybridMultilevel"/>
    <w:tmpl w:val="27CC3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14420"/>
    <w:multiLevelType w:val="hybridMultilevel"/>
    <w:tmpl w:val="A2785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7106E"/>
    <w:multiLevelType w:val="hybridMultilevel"/>
    <w:tmpl w:val="071E8388"/>
    <w:lvl w:ilvl="0" w:tplc="3564C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C4B89"/>
    <w:multiLevelType w:val="hybridMultilevel"/>
    <w:tmpl w:val="C1B48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A73CD"/>
    <w:multiLevelType w:val="hybridMultilevel"/>
    <w:tmpl w:val="BB74F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76D54"/>
    <w:multiLevelType w:val="hybridMultilevel"/>
    <w:tmpl w:val="A12EFCDA"/>
    <w:lvl w:ilvl="0" w:tplc="1CFAEF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3182FCF"/>
    <w:multiLevelType w:val="multilevel"/>
    <w:tmpl w:val="A6EE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45B0A9C"/>
    <w:multiLevelType w:val="hybridMultilevel"/>
    <w:tmpl w:val="6E08951E"/>
    <w:lvl w:ilvl="0" w:tplc="B6F2D7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2D056D"/>
    <w:multiLevelType w:val="hybridMultilevel"/>
    <w:tmpl w:val="BD16A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2484F"/>
    <w:multiLevelType w:val="hybridMultilevel"/>
    <w:tmpl w:val="186A04C6"/>
    <w:lvl w:ilvl="0" w:tplc="F384AF8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66867C6"/>
    <w:multiLevelType w:val="hybridMultilevel"/>
    <w:tmpl w:val="E7229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463EF"/>
    <w:multiLevelType w:val="hybridMultilevel"/>
    <w:tmpl w:val="36B62AA0"/>
    <w:lvl w:ilvl="0" w:tplc="25802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621BCA"/>
    <w:multiLevelType w:val="hybridMultilevel"/>
    <w:tmpl w:val="F5D0EF2E"/>
    <w:lvl w:ilvl="0" w:tplc="4EC086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1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17"/>
  </w:num>
  <w:num w:numId="14">
    <w:abstractNumId w:val="2"/>
  </w:num>
  <w:num w:numId="15">
    <w:abstractNumId w:val="13"/>
  </w:num>
  <w:num w:numId="16">
    <w:abstractNumId w:val="14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80"/>
  <w:displayHorizontalDrawingGridEvery w:val="2"/>
  <w:characterSpacingControl w:val="doNotCompress"/>
  <w:compat/>
  <w:rsids>
    <w:rsidRoot w:val="00AE46E6"/>
    <w:rsid w:val="0001032F"/>
    <w:rsid w:val="0001272A"/>
    <w:rsid w:val="00017AAE"/>
    <w:rsid w:val="000211FA"/>
    <w:rsid w:val="00024344"/>
    <w:rsid w:val="00041A34"/>
    <w:rsid w:val="0004401D"/>
    <w:rsid w:val="000601FF"/>
    <w:rsid w:val="00067876"/>
    <w:rsid w:val="00075F6B"/>
    <w:rsid w:val="000910A7"/>
    <w:rsid w:val="000A28DA"/>
    <w:rsid w:val="000A45CA"/>
    <w:rsid w:val="000C511B"/>
    <w:rsid w:val="000D707B"/>
    <w:rsid w:val="001062BF"/>
    <w:rsid w:val="001374E5"/>
    <w:rsid w:val="001509DB"/>
    <w:rsid w:val="00163051"/>
    <w:rsid w:val="00166703"/>
    <w:rsid w:val="00180786"/>
    <w:rsid w:val="00192D66"/>
    <w:rsid w:val="001B05E8"/>
    <w:rsid w:val="001B092D"/>
    <w:rsid w:val="001B73F5"/>
    <w:rsid w:val="001C0DD1"/>
    <w:rsid w:val="001F4AF0"/>
    <w:rsid w:val="00217738"/>
    <w:rsid w:val="00220F39"/>
    <w:rsid w:val="00251469"/>
    <w:rsid w:val="00261C70"/>
    <w:rsid w:val="00266147"/>
    <w:rsid w:val="00277A6A"/>
    <w:rsid w:val="00291391"/>
    <w:rsid w:val="002945E4"/>
    <w:rsid w:val="00294B5F"/>
    <w:rsid w:val="002B09C2"/>
    <w:rsid w:val="002D7FB9"/>
    <w:rsid w:val="002D7FFB"/>
    <w:rsid w:val="002F45F5"/>
    <w:rsid w:val="0033501C"/>
    <w:rsid w:val="0033604B"/>
    <w:rsid w:val="003601B2"/>
    <w:rsid w:val="00361852"/>
    <w:rsid w:val="00367F8F"/>
    <w:rsid w:val="003929C9"/>
    <w:rsid w:val="00393AE7"/>
    <w:rsid w:val="00394F78"/>
    <w:rsid w:val="003A6548"/>
    <w:rsid w:val="003B3EBB"/>
    <w:rsid w:val="003C4650"/>
    <w:rsid w:val="003C4BD9"/>
    <w:rsid w:val="003C7D94"/>
    <w:rsid w:val="00422E2E"/>
    <w:rsid w:val="00444359"/>
    <w:rsid w:val="00474B83"/>
    <w:rsid w:val="00476C2B"/>
    <w:rsid w:val="00485089"/>
    <w:rsid w:val="00491249"/>
    <w:rsid w:val="004B75EC"/>
    <w:rsid w:val="004D67E5"/>
    <w:rsid w:val="004E00AB"/>
    <w:rsid w:val="004F23A1"/>
    <w:rsid w:val="005150D0"/>
    <w:rsid w:val="00515361"/>
    <w:rsid w:val="00515E28"/>
    <w:rsid w:val="00522DB7"/>
    <w:rsid w:val="005475A2"/>
    <w:rsid w:val="005531FE"/>
    <w:rsid w:val="005558B1"/>
    <w:rsid w:val="00567E76"/>
    <w:rsid w:val="005819A3"/>
    <w:rsid w:val="00591762"/>
    <w:rsid w:val="00591795"/>
    <w:rsid w:val="0059784E"/>
    <w:rsid w:val="005A0714"/>
    <w:rsid w:val="005C0C60"/>
    <w:rsid w:val="005E4A7B"/>
    <w:rsid w:val="005F4A57"/>
    <w:rsid w:val="00647EF5"/>
    <w:rsid w:val="00662E75"/>
    <w:rsid w:val="0066304A"/>
    <w:rsid w:val="0068512D"/>
    <w:rsid w:val="00685FFD"/>
    <w:rsid w:val="006B7BF9"/>
    <w:rsid w:val="006E65C5"/>
    <w:rsid w:val="00730623"/>
    <w:rsid w:val="00750A05"/>
    <w:rsid w:val="00773786"/>
    <w:rsid w:val="00791C15"/>
    <w:rsid w:val="007D249D"/>
    <w:rsid w:val="007E3EE0"/>
    <w:rsid w:val="008037D8"/>
    <w:rsid w:val="0081213D"/>
    <w:rsid w:val="00814409"/>
    <w:rsid w:val="00834B54"/>
    <w:rsid w:val="00866361"/>
    <w:rsid w:val="00866E70"/>
    <w:rsid w:val="009113F0"/>
    <w:rsid w:val="009667ED"/>
    <w:rsid w:val="009715D4"/>
    <w:rsid w:val="009B666F"/>
    <w:rsid w:val="009B6DC0"/>
    <w:rsid w:val="009D6406"/>
    <w:rsid w:val="009F16BF"/>
    <w:rsid w:val="009F20E7"/>
    <w:rsid w:val="00A05C9D"/>
    <w:rsid w:val="00A276DE"/>
    <w:rsid w:val="00A76C52"/>
    <w:rsid w:val="00A80BD8"/>
    <w:rsid w:val="00A8178A"/>
    <w:rsid w:val="00A87008"/>
    <w:rsid w:val="00A879D6"/>
    <w:rsid w:val="00A90945"/>
    <w:rsid w:val="00A94C78"/>
    <w:rsid w:val="00AA16F5"/>
    <w:rsid w:val="00AC291E"/>
    <w:rsid w:val="00AD0175"/>
    <w:rsid w:val="00AD7FD2"/>
    <w:rsid w:val="00AE46E6"/>
    <w:rsid w:val="00B1472B"/>
    <w:rsid w:val="00B25A3E"/>
    <w:rsid w:val="00B80869"/>
    <w:rsid w:val="00BA1AD9"/>
    <w:rsid w:val="00BC2F04"/>
    <w:rsid w:val="00BD1F01"/>
    <w:rsid w:val="00BE1D87"/>
    <w:rsid w:val="00C00989"/>
    <w:rsid w:val="00C036D6"/>
    <w:rsid w:val="00C26205"/>
    <w:rsid w:val="00C439C5"/>
    <w:rsid w:val="00C45AED"/>
    <w:rsid w:val="00C546B5"/>
    <w:rsid w:val="00C67CC0"/>
    <w:rsid w:val="00C752A1"/>
    <w:rsid w:val="00C760EA"/>
    <w:rsid w:val="00C86915"/>
    <w:rsid w:val="00CC391D"/>
    <w:rsid w:val="00CD3183"/>
    <w:rsid w:val="00CE5016"/>
    <w:rsid w:val="00CF4BD8"/>
    <w:rsid w:val="00D00720"/>
    <w:rsid w:val="00D00F65"/>
    <w:rsid w:val="00D17709"/>
    <w:rsid w:val="00D549D0"/>
    <w:rsid w:val="00D65056"/>
    <w:rsid w:val="00D74BB2"/>
    <w:rsid w:val="00D80161"/>
    <w:rsid w:val="00D825F3"/>
    <w:rsid w:val="00D83764"/>
    <w:rsid w:val="00D85492"/>
    <w:rsid w:val="00D8586B"/>
    <w:rsid w:val="00D905BE"/>
    <w:rsid w:val="00DB711E"/>
    <w:rsid w:val="00DE3825"/>
    <w:rsid w:val="00DE63B1"/>
    <w:rsid w:val="00DE72B2"/>
    <w:rsid w:val="00DF2FAC"/>
    <w:rsid w:val="00E1159A"/>
    <w:rsid w:val="00E13D66"/>
    <w:rsid w:val="00E244E3"/>
    <w:rsid w:val="00E27DDF"/>
    <w:rsid w:val="00E3780B"/>
    <w:rsid w:val="00E45254"/>
    <w:rsid w:val="00E568D0"/>
    <w:rsid w:val="00E80304"/>
    <w:rsid w:val="00E86E5F"/>
    <w:rsid w:val="00E9276B"/>
    <w:rsid w:val="00EA6D11"/>
    <w:rsid w:val="00EC1585"/>
    <w:rsid w:val="00EF2E1E"/>
    <w:rsid w:val="00EF2FAF"/>
    <w:rsid w:val="00F04EFF"/>
    <w:rsid w:val="00F60294"/>
    <w:rsid w:val="00F63BDC"/>
    <w:rsid w:val="00F652B0"/>
    <w:rsid w:val="00FB40B7"/>
    <w:rsid w:val="00FB4818"/>
    <w:rsid w:val="00FB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E6"/>
    <w:rPr>
      <w:rFonts w:ascii="Arial" w:eastAsia="Times New Roman" w:hAnsi="Arial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E6"/>
    <w:pPr>
      <w:ind w:left="720"/>
    </w:pPr>
  </w:style>
  <w:style w:type="table" w:styleId="TableGrid">
    <w:name w:val="Table Grid"/>
    <w:basedOn w:val="TableNormal"/>
    <w:uiPriority w:val="59"/>
    <w:rsid w:val="003A6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159A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F4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a.pmo.dapit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3196</CharactersWithSpaces>
  <SharedDoc>false</SharedDoc>
  <HLinks>
    <vt:vector size="6" baseType="variant"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mailto:ppa.pmo.dapitan@gmail.com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A. Obordo</dc:creator>
  <cp:lastModifiedBy>MHC</cp:lastModifiedBy>
  <cp:revision>23</cp:revision>
  <cp:lastPrinted>2016-01-04T06:11:00Z</cp:lastPrinted>
  <dcterms:created xsi:type="dcterms:W3CDTF">2016-01-03T05:20:00Z</dcterms:created>
  <dcterms:modified xsi:type="dcterms:W3CDTF">2016-04-20T01:19:00Z</dcterms:modified>
</cp:coreProperties>
</file>